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637F9EC"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CD1419">
        <w:rPr>
          <w:rFonts w:ascii="Poppins" w:hAnsi="Poppins" w:cs="Poppins"/>
          <w:sz w:val="24"/>
          <w:szCs w:val="22"/>
          <w:u w:val="single"/>
          <w:lang w:val="it-IT"/>
        </w:rPr>
        <w:t>4</w:t>
      </w:r>
      <w:r w:rsidR="00B629A7">
        <w:rPr>
          <w:rFonts w:ascii="Poppins" w:hAnsi="Poppins" w:cs="Poppins"/>
          <w:sz w:val="24"/>
          <w:szCs w:val="22"/>
          <w:u w:val="single"/>
          <w:lang w:val="it-IT"/>
        </w:rPr>
        <w:t>5</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70BADC2"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B629A7">
        <w:rPr>
          <w:rFonts w:ascii="Poppins" w:hAnsi="Poppins" w:cs="Poppins"/>
          <w:b/>
          <w:bCs/>
          <w:sz w:val="22"/>
          <w:szCs w:val="22"/>
        </w:rPr>
        <w:t>1</w:t>
      </w:r>
      <w:r w:rsidR="0094258C">
        <w:rPr>
          <w:rFonts w:ascii="Poppins" w:hAnsi="Poppins" w:cs="Poppins"/>
          <w:b/>
          <w:bCs/>
          <w:sz w:val="22"/>
          <w:szCs w:val="22"/>
        </w:rPr>
        <w:t>0</w:t>
      </w:r>
      <w:r w:rsidR="00316BFF">
        <w:rPr>
          <w:rFonts w:ascii="Poppins" w:hAnsi="Poppins" w:cs="Poppins"/>
          <w:b/>
          <w:bCs/>
          <w:sz w:val="22"/>
          <w:szCs w:val="22"/>
        </w:rPr>
        <w:t>/</w:t>
      </w:r>
      <w:r w:rsidR="0094258C">
        <w:rPr>
          <w:rFonts w:ascii="Poppins" w:hAnsi="Poppins" w:cs="Poppins"/>
          <w:b/>
          <w:bCs/>
          <w:sz w:val="22"/>
          <w:szCs w:val="22"/>
        </w:rPr>
        <w:t>11</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72A85466" w:rsidR="00AB06BA" w:rsidRPr="001C2FD3" w:rsidRDefault="0031408A"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2D2648AA" wp14:editId="72AFF8F1">
            <wp:extent cx="5396458" cy="3825240"/>
            <wp:effectExtent l="0" t="0" r="0" b="38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4428" cy="3830890"/>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177F124E"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B85900">
        <w:rPr>
          <w:rFonts w:ascii="Poppins" w:hAnsi="Poppins" w:cs="Poppins"/>
          <w:sz w:val="18"/>
          <w:szCs w:val="18"/>
        </w:rPr>
        <w:t>59</w:t>
      </w:r>
      <w:r w:rsidR="00E23D92" w:rsidRPr="00273F37">
        <w:rPr>
          <w:rFonts w:ascii="Poppins" w:hAnsi="Poppins" w:cs="Poppins"/>
          <w:sz w:val="18"/>
          <w:szCs w:val="18"/>
        </w:rPr>
        <w:t>,</w:t>
      </w:r>
      <w:r w:rsidR="00B85900">
        <w:rPr>
          <w:rFonts w:ascii="Poppins" w:hAnsi="Poppins" w:cs="Poppins"/>
          <w:sz w:val="18"/>
          <w:szCs w:val="18"/>
        </w:rPr>
        <w:t>8</w:t>
      </w:r>
      <w:r w:rsidR="00F02F0E">
        <w:rPr>
          <w:rFonts w:ascii="Poppins" w:hAnsi="Poppins" w:cs="Poppins"/>
          <w:sz w:val="18"/>
          <w:szCs w:val="18"/>
        </w:rPr>
        <w:t>9</w:t>
      </w:r>
      <w:r w:rsidRPr="00273F37">
        <w:rPr>
          <w:rFonts w:ascii="Poppins" w:hAnsi="Poppins" w:cs="Poppins"/>
          <w:sz w:val="18"/>
          <w:szCs w:val="18"/>
        </w:rPr>
        <w:t xml:space="preserve"> US$/Bl, las gasolinas registraron un precio superior a </w:t>
      </w:r>
      <w:r w:rsidR="008B2403">
        <w:rPr>
          <w:rFonts w:ascii="Poppins" w:hAnsi="Poppins" w:cs="Poppins"/>
          <w:sz w:val="18"/>
          <w:szCs w:val="18"/>
        </w:rPr>
        <w:t>7</w:t>
      </w:r>
      <w:r w:rsidR="00B85900">
        <w:rPr>
          <w:rFonts w:ascii="Poppins" w:hAnsi="Poppins" w:cs="Poppins"/>
          <w:sz w:val="18"/>
          <w:szCs w:val="18"/>
        </w:rPr>
        <w:t>7</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F02F0E">
        <w:rPr>
          <w:rFonts w:ascii="Poppins" w:hAnsi="Poppins" w:cs="Poppins"/>
          <w:sz w:val="18"/>
          <w:szCs w:val="18"/>
        </w:rPr>
        <w:t>9</w:t>
      </w:r>
      <w:r w:rsidR="00B85900">
        <w:rPr>
          <w:rFonts w:ascii="Poppins" w:hAnsi="Poppins" w:cs="Poppins"/>
          <w:sz w:val="18"/>
          <w:szCs w:val="18"/>
        </w:rPr>
        <w:t>3</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B85900">
        <w:rPr>
          <w:rFonts w:ascii="Poppins" w:hAnsi="Poppins" w:cs="Poppins"/>
          <w:sz w:val="18"/>
          <w:szCs w:val="18"/>
        </w:rPr>
        <w:t>27</w:t>
      </w:r>
      <w:r w:rsidR="00941CD2" w:rsidRPr="00273F37">
        <w:rPr>
          <w:rFonts w:ascii="Poppins" w:hAnsi="Poppins" w:cs="Poppins"/>
          <w:sz w:val="18"/>
          <w:szCs w:val="18"/>
        </w:rPr>
        <w:t>,</w:t>
      </w:r>
      <w:r w:rsidR="00B85900">
        <w:rPr>
          <w:rFonts w:ascii="Poppins" w:hAnsi="Poppins" w:cs="Poppins"/>
          <w:sz w:val="18"/>
          <w:szCs w:val="18"/>
        </w:rPr>
        <w:t>73</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63933942"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C149A9">
        <w:rPr>
          <w:rFonts w:ascii="Poppins" w:hAnsi="Poppins" w:cs="Poppins"/>
          <w:bCs/>
          <w:sz w:val="18"/>
          <w:szCs w:val="18"/>
        </w:rPr>
        <w:t>2</w:t>
      </w:r>
      <w:r w:rsidR="00B85900">
        <w:rPr>
          <w:rFonts w:ascii="Poppins" w:hAnsi="Poppins" w:cs="Poppins"/>
          <w:bCs/>
          <w:sz w:val="18"/>
          <w:szCs w:val="18"/>
        </w:rPr>
        <w:t>7</w:t>
      </w:r>
      <w:r w:rsidRPr="00ED72E4">
        <w:rPr>
          <w:rFonts w:ascii="Poppins" w:hAnsi="Poppins" w:cs="Poppins"/>
          <w:bCs/>
          <w:sz w:val="18"/>
          <w:szCs w:val="18"/>
        </w:rPr>
        <w:t>.</w:t>
      </w:r>
      <w:r w:rsidR="00784CB3" w:rsidRPr="00ED72E4">
        <w:rPr>
          <w:rFonts w:ascii="Poppins" w:hAnsi="Poppins" w:cs="Poppins"/>
          <w:bCs/>
          <w:sz w:val="18"/>
          <w:szCs w:val="18"/>
        </w:rPr>
        <w:t>1</w:t>
      </w:r>
      <w:r w:rsidR="000F0295" w:rsidRPr="00ED72E4">
        <w:rPr>
          <w:rFonts w:ascii="Poppins" w:hAnsi="Poppins" w:cs="Poppins"/>
          <w:bCs/>
          <w:sz w:val="18"/>
          <w:szCs w:val="18"/>
        </w:rPr>
        <w:t>0</w:t>
      </w:r>
      <w:r w:rsidRPr="00ED72E4">
        <w:rPr>
          <w:rFonts w:ascii="Poppins" w:hAnsi="Poppins" w:cs="Poppins"/>
          <w:bCs/>
          <w:sz w:val="18"/>
          <w:szCs w:val="18"/>
        </w:rPr>
        <w:t>.202</w:t>
      </w:r>
      <w:r w:rsidR="000F0295" w:rsidRPr="00ED72E4">
        <w:rPr>
          <w:rFonts w:ascii="Poppins" w:hAnsi="Poppins" w:cs="Poppins"/>
          <w:bCs/>
          <w:sz w:val="18"/>
          <w:szCs w:val="18"/>
        </w:rPr>
        <w:t>5</w:t>
      </w:r>
      <w:r w:rsidRPr="00ED72E4">
        <w:rPr>
          <w:rFonts w:ascii="Poppins" w:hAnsi="Poppins" w:cs="Poppins"/>
          <w:bCs/>
          <w:sz w:val="18"/>
          <w:szCs w:val="18"/>
        </w:rPr>
        <w:t xml:space="preserve"> al</w:t>
      </w:r>
      <w:r w:rsidR="00246F93" w:rsidRPr="00ED72E4">
        <w:rPr>
          <w:rFonts w:ascii="Poppins" w:hAnsi="Poppins" w:cs="Poppins"/>
          <w:bCs/>
          <w:sz w:val="18"/>
          <w:szCs w:val="18"/>
        </w:rPr>
        <w:t xml:space="preserve"> </w:t>
      </w:r>
      <w:r w:rsidR="00B85900">
        <w:rPr>
          <w:rFonts w:ascii="Poppins" w:hAnsi="Poppins" w:cs="Poppins"/>
          <w:bCs/>
          <w:sz w:val="18"/>
          <w:szCs w:val="18"/>
        </w:rPr>
        <w:t>07</w:t>
      </w:r>
      <w:r w:rsidRPr="00ED72E4">
        <w:rPr>
          <w:rFonts w:ascii="Poppins" w:hAnsi="Poppins" w:cs="Poppins"/>
          <w:bCs/>
          <w:sz w:val="18"/>
          <w:szCs w:val="18"/>
        </w:rPr>
        <w:t>.</w:t>
      </w:r>
      <w:r w:rsidR="00C27332" w:rsidRPr="00ED72E4">
        <w:rPr>
          <w:rFonts w:ascii="Poppins" w:hAnsi="Poppins" w:cs="Poppins"/>
          <w:bCs/>
          <w:sz w:val="18"/>
          <w:szCs w:val="18"/>
        </w:rPr>
        <w:t>1</w:t>
      </w:r>
      <w:r w:rsidR="00B85900">
        <w:rPr>
          <w:rFonts w:ascii="Poppins" w:hAnsi="Poppins" w:cs="Poppins"/>
          <w:bCs/>
          <w:sz w:val="18"/>
          <w:szCs w:val="18"/>
        </w:rPr>
        <w:t>1</w:t>
      </w:r>
      <w:r w:rsidRPr="00ED72E4">
        <w:rPr>
          <w:rFonts w:ascii="Poppins" w:hAnsi="Poppins" w:cs="Poppins"/>
          <w:bCs/>
          <w:sz w:val="18"/>
          <w:szCs w:val="18"/>
        </w:rPr>
        <w:t>.202</w:t>
      </w:r>
      <w:r w:rsidR="00E23D92" w:rsidRPr="00ED72E4">
        <w:rPr>
          <w:rFonts w:ascii="Poppins" w:hAnsi="Poppins" w:cs="Poppins"/>
          <w:bCs/>
          <w:sz w:val="18"/>
          <w:szCs w:val="18"/>
        </w:rPr>
        <w:t>5</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419FD902" w14:textId="2C550B87" w:rsidR="00E56970" w:rsidRPr="00F02F0E" w:rsidRDefault="00E56970" w:rsidP="00AD0D2A">
      <w:pPr>
        <w:shd w:val="clear" w:color="auto" w:fill="FFFFFF"/>
        <w:ind w:left="425"/>
        <w:jc w:val="both"/>
        <w:rPr>
          <w:rFonts w:ascii="Poppins" w:hAnsi="Poppins" w:cs="Poppins"/>
          <w:sz w:val="18"/>
          <w:szCs w:val="18"/>
          <w:highlight w:val="yellow"/>
        </w:rPr>
      </w:pPr>
    </w:p>
    <w:p w14:paraId="23519AF6" w14:textId="77777777" w:rsidR="00ED72E4" w:rsidRPr="0067087B" w:rsidRDefault="00ED72E4" w:rsidP="00ED72E4">
      <w:pPr>
        <w:jc w:val="both"/>
        <w:rPr>
          <w:rFonts w:ascii="Poppins" w:hAnsi="Poppins" w:cs="Poppins"/>
          <w:sz w:val="18"/>
          <w:szCs w:val="18"/>
          <w:highlight w:val="yellow"/>
        </w:rPr>
      </w:pPr>
    </w:p>
    <w:p w14:paraId="4869EB42" w14:textId="77777777" w:rsidR="00011F66" w:rsidRPr="007C5F34" w:rsidRDefault="00011F66" w:rsidP="00011F66">
      <w:pPr>
        <w:pStyle w:val="Prrafodelista"/>
        <w:numPr>
          <w:ilvl w:val="0"/>
          <w:numId w:val="30"/>
        </w:numPr>
        <w:ind w:left="425"/>
        <w:contextualSpacing/>
        <w:jc w:val="both"/>
        <w:rPr>
          <w:rFonts w:ascii="Poppins" w:hAnsi="Poppins" w:cs="Poppins"/>
          <w:b/>
          <w:sz w:val="18"/>
          <w:szCs w:val="18"/>
        </w:rPr>
      </w:pPr>
      <w:r w:rsidRPr="007C5F34">
        <w:rPr>
          <w:rFonts w:ascii="Poppins" w:hAnsi="Poppins" w:cs="Poppins"/>
          <w:b/>
          <w:sz w:val="18"/>
          <w:szCs w:val="18"/>
        </w:rPr>
        <w:t>El incremento de los inventarios de crudo y propano, así como el descenso de las existencias de gasolinas y destilado medio, al 31 de octubre del 2025</w:t>
      </w:r>
    </w:p>
    <w:p w14:paraId="227314BA" w14:textId="77777777" w:rsidR="00011F66" w:rsidRPr="007C5F34" w:rsidRDefault="00011F66" w:rsidP="00011F66">
      <w:pPr>
        <w:shd w:val="clear" w:color="auto" w:fill="FFFFFF"/>
        <w:ind w:left="425"/>
        <w:jc w:val="both"/>
        <w:rPr>
          <w:rFonts w:ascii="Poppins" w:hAnsi="Poppins" w:cs="Poppins"/>
          <w:sz w:val="18"/>
          <w:szCs w:val="18"/>
        </w:rPr>
      </w:pPr>
    </w:p>
    <w:p w14:paraId="33EEDD91" w14:textId="77777777" w:rsidR="00011F66" w:rsidRPr="007C5F34" w:rsidRDefault="00011F66" w:rsidP="00011F66">
      <w:pPr>
        <w:shd w:val="clear" w:color="auto" w:fill="FFFFFF"/>
        <w:ind w:left="425"/>
        <w:jc w:val="both"/>
        <w:rPr>
          <w:rFonts w:ascii="Poppins" w:hAnsi="Poppins" w:cs="Poppins"/>
          <w:sz w:val="18"/>
          <w:szCs w:val="18"/>
        </w:rPr>
      </w:pPr>
      <w:r w:rsidRPr="007C5F34">
        <w:rPr>
          <w:rFonts w:ascii="Poppins" w:hAnsi="Poppins" w:cs="Poppins"/>
          <w:sz w:val="18"/>
          <w:szCs w:val="18"/>
        </w:rPr>
        <w:t>Los inventarios de petróleo de Estados Unidos se incrementaron en 5,2 millones de barriles alcanzando los 421,2 millones de barriles, ubicándose en un -4% por debajo de la media de los últimos 5 años, para esta época del año.</w:t>
      </w:r>
    </w:p>
    <w:p w14:paraId="6DB6CDC7" w14:textId="77777777" w:rsidR="00011F66" w:rsidRPr="007C5F34" w:rsidRDefault="00011F66" w:rsidP="00011F66">
      <w:pPr>
        <w:shd w:val="clear" w:color="auto" w:fill="FFFFFF"/>
        <w:ind w:left="425"/>
        <w:jc w:val="both"/>
        <w:rPr>
          <w:rFonts w:ascii="Poppins" w:hAnsi="Poppins" w:cs="Poppins"/>
          <w:sz w:val="18"/>
          <w:szCs w:val="18"/>
        </w:rPr>
      </w:pPr>
    </w:p>
    <w:p w14:paraId="19013DC9" w14:textId="77777777" w:rsidR="00011F66" w:rsidRPr="007C5F34" w:rsidRDefault="00011F66" w:rsidP="00011F66">
      <w:pPr>
        <w:shd w:val="clear" w:color="auto" w:fill="FFFFFF"/>
        <w:ind w:left="425"/>
        <w:jc w:val="both"/>
        <w:rPr>
          <w:rFonts w:ascii="Poppins" w:hAnsi="Poppins" w:cs="Poppins"/>
          <w:sz w:val="18"/>
          <w:szCs w:val="18"/>
        </w:rPr>
      </w:pPr>
      <w:r w:rsidRPr="007C5F34">
        <w:rPr>
          <w:rFonts w:ascii="Poppins" w:hAnsi="Poppins" w:cs="Poppins"/>
          <w:sz w:val="18"/>
          <w:szCs w:val="18"/>
        </w:rPr>
        <w:t>Por su parte, las existencias de gasolinas</w:t>
      </w:r>
      <w:r>
        <w:rPr>
          <w:rFonts w:ascii="Poppins" w:hAnsi="Poppins" w:cs="Poppins"/>
          <w:sz w:val="18"/>
          <w:szCs w:val="18"/>
        </w:rPr>
        <w:t xml:space="preserve"> disminuyeron</w:t>
      </w:r>
      <w:r w:rsidRPr="007C5F34">
        <w:rPr>
          <w:rFonts w:ascii="Poppins" w:hAnsi="Poppins" w:cs="Poppins"/>
          <w:sz w:val="18"/>
          <w:szCs w:val="18"/>
        </w:rPr>
        <w:t xml:space="preserve"> en 4,7 millones de barriles, reportando un total de 206,0 millones de barriles. Asimismo, los inventarios de destilados, que incluyen al diésel y al combustible para calefacción decrecieron en 0,6 millones de barriles, ubicándose en 111,5 millones de barriles.</w:t>
      </w:r>
    </w:p>
    <w:p w14:paraId="5FAC1079" w14:textId="77777777" w:rsidR="00011F66" w:rsidRPr="007C5F34" w:rsidRDefault="00011F66" w:rsidP="00011F66">
      <w:pPr>
        <w:shd w:val="clear" w:color="auto" w:fill="FFFFFF"/>
        <w:ind w:left="425"/>
        <w:jc w:val="both"/>
        <w:rPr>
          <w:rFonts w:ascii="Poppins" w:hAnsi="Poppins" w:cs="Poppins"/>
          <w:sz w:val="18"/>
          <w:szCs w:val="18"/>
        </w:rPr>
      </w:pPr>
    </w:p>
    <w:p w14:paraId="6700E498" w14:textId="77777777" w:rsidR="00011F66" w:rsidRDefault="00011F66" w:rsidP="00011F66">
      <w:pPr>
        <w:shd w:val="clear" w:color="auto" w:fill="FFFFFF"/>
        <w:ind w:left="425"/>
        <w:jc w:val="both"/>
        <w:rPr>
          <w:rFonts w:ascii="Poppins" w:hAnsi="Poppins" w:cs="Poppins"/>
          <w:sz w:val="18"/>
          <w:szCs w:val="18"/>
        </w:rPr>
      </w:pPr>
      <w:r w:rsidRPr="007C5F34">
        <w:rPr>
          <w:rFonts w:ascii="Poppins" w:hAnsi="Poppins" w:cs="Poppins"/>
          <w:sz w:val="18"/>
          <w:szCs w:val="18"/>
        </w:rPr>
        <w:t>Finalmente, las existencias de propano</w:t>
      </w:r>
      <w:r>
        <w:rPr>
          <w:rFonts w:ascii="Poppins" w:hAnsi="Poppins" w:cs="Poppins"/>
          <w:sz w:val="18"/>
          <w:szCs w:val="18"/>
        </w:rPr>
        <w:t xml:space="preserve"> aumentaron</w:t>
      </w:r>
      <w:r w:rsidRPr="007C5F34">
        <w:rPr>
          <w:rFonts w:ascii="Poppins" w:hAnsi="Poppins" w:cs="Poppins"/>
          <w:sz w:val="18"/>
          <w:szCs w:val="18"/>
        </w:rPr>
        <w:t xml:space="preserve"> en 0,41 millones de barriles, registrando un nivel de 106,09 millones de barriles.</w:t>
      </w:r>
    </w:p>
    <w:p w14:paraId="284E97FA" w14:textId="77777777" w:rsidR="00011F66" w:rsidRDefault="00011F66" w:rsidP="00011F66">
      <w:pPr>
        <w:shd w:val="clear" w:color="auto" w:fill="FFFFFF"/>
        <w:ind w:left="425"/>
        <w:jc w:val="both"/>
        <w:rPr>
          <w:rFonts w:ascii="Poppins" w:hAnsi="Poppins" w:cs="Poppins"/>
          <w:sz w:val="18"/>
          <w:szCs w:val="18"/>
        </w:rPr>
      </w:pPr>
    </w:p>
    <w:p w14:paraId="6A2915DA" w14:textId="77777777" w:rsidR="00011F66" w:rsidRPr="00F1673E" w:rsidRDefault="00011F66" w:rsidP="00011F66">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lastRenderedPageBreak/>
        <w:t xml:space="preserve">La </w:t>
      </w:r>
      <w:r w:rsidRPr="00F1673E">
        <w:rPr>
          <w:rFonts w:ascii="Poppins" w:hAnsi="Poppins" w:cs="Poppins"/>
          <w:b/>
          <w:sz w:val="18"/>
          <w:szCs w:val="18"/>
        </w:rPr>
        <w:t>OPEP</w:t>
      </w:r>
      <w:r>
        <w:rPr>
          <w:rFonts w:ascii="Poppins" w:hAnsi="Poppins" w:cs="Poppins"/>
          <w:b/>
          <w:sz w:val="18"/>
          <w:szCs w:val="18"/>
        </w:rPr>
        <w:t xml:space="preserve"> confirma </w:t>
      </w:r>
      <w:r w:rsidRPr="00F1673E">
        <w:rPr>
          <w:rFonts w:ascii="Poppins" w:hAnsi="Poppins" w:cs="Poppins"/>
          <w:b/>
          <w:sz w:val="18"/>
          <w:szCs w:val="18"/>
        </w:rPr>
        <w:t xml:space="preserve">leve aumento de 137 </w:t>
      </w:r>
      <w:r>
        <w:rPr>
          <w:rFonts w:ascii="Poppins" w:hAnsi="Poppins" w:cs="Poppins"/>
          <w:b/>
          <w:sz w:val="18"/>
          <w:szCs w:val="18"/>
        </w:rPr>
        <w:t xml:space="preserve">mil barriles por día </w:t>
      </w:r>
      <w:r w:rsidRPr="00F1673E">
        <w:rPr>
          <w:rFonts w:ascii="Poppins" w:hAnsi="Poppins" w:cs="Poppins"/>
          <w:b/>
          <w:sz w:val="18"/>
          <w:szCs w:val="18"/>
        </w:rPr>
        <w:t>en diciembre antes de suspender nuevos incrementos</w:t>
      </w:r>
    </w:p>
    <w:p w14:paraId="453849B3" w14:textId="77777777" w:rsidR="00011F66" w:rsidRDefault="00011F66" w:rsidP="00011F66">
      <w:pPr>
        <w:shd w:val="clear" w:color="auto" w:fill="FFFFFF"/>
        <w:ind w:left="425"/>
        <w:jc w:val="both"/>
        <w:rPr>
          <w:rFonts w:ascii="Poppins" w:hAnsi="Poppins" w:cs="Poppins"/>
          <w:sz w:val="18"/>
          <w:szCs w:val="18"/>
        </w:rPr>
      </w:pPr>
    </w:p>
    <w:p w14:paraId="1B703B63" w14:textId="77777777" w:rsidR="00011F66" w:rsidRPr="005A2471" w:rsidRDefault="00011F66" w:rsidP="00011F66">
      <w:pPr>
        <w:shd w:val="clear" w:color="auto" w:fill="FFFFFF"/>
        <w:ind w:left="425"/>
        <w:jc w:val="both"/>
        <w:rPr>
          <w:rFonts w:ascii="Poppins" w:hAnsi="Poppins" w:cs="Poppins"/>
          <w:sz w:val="18"/>
          <w:szCs w:val="18"/>
        </w:rPr>
      </w:pPr>
      <w:r w:rsidRPr="005A2471">
        <w:rPr>
          <w:rFonts w:ascii="Poppins" w:hAnsi="Poppins" w:cs="Poppins"/>
          <w:sz w:val="18"/>
          <w:szCs w:val="18"/>
        </w:rPr>
        <w:t>La</w:t>
      </w:r>
      <w:r>
        <w:rPr>
          <w:rFonts w:ascii="Poppins" w:hAnsi="Poppins" w:cs="Poppins"/>
          <w:sz w:val="18"/>
          <w:szCs w:val="18"/>
        </w:rPr>
        <w:t xml:space="preserve"> </w:t>
      </w:r>
      <w:r w:rsidRPr="005A2471">
        <w:rPr>
          <w:rFonts w:ascii="Poppins" w:hAnsi="Poppins" w:cs="Poppins"/>
          <w:sz w:val="18"/>
          <w:szCs w:val="18"/>
        </w:rPr>
        <w:t xml:space="preserve">OPEP aprobó </w:t>
      </w:r>
      <w:r>
        <w:rPr>
          <w:rFonts w:ascii="Poppins" w:hAnsi="Poppins" w:cs="Poppins"/>
          <w:sz w:val="18"/>
          <w:szCs w:val="18"/>
        </w:rPr>
        <w:t xml:space="preserve">el 02 de noviembre, </w:t>
      </w:r>
      <w:r w:rsidRPr="005A2471">
        <w:rPr>
          <w:rFonts w:ascii="Poppins" w:hAnsi="Poppins" w:cs="Poppins"/>
          <w:sz w:val="18"/>
          <w:szCs w:val="18"/>
        </w:rPr>
        <w:t>un aumento modesto de 137</w:t>
      </w:r>
      <w:r>
        <w:rPr>
          <w:rFonts w:ascii="Poppins" w:hAnsi="Poppins" w:cs="Poppins"/>
          <w:sz w:val="18"/>
          <w:szCs w:val="18"/>
        </w:rPr>
        <w:t xml:space="preserve"> mil bpd </w:t>
      </w:r>
      <w:r w:rsidRPr="005A2471">
        <w:rPr>
          <w:rFonts w:ascii="Poppins" w:hAnsi="Poppins" w:cs="Poppins"/>
          <w:sz w:val="18"/>
          <w:szCs w:val="18"/>
        </w:rPr>
        <w:t>para diciembre, como parte de</w:t>
      </w:r>
      <w:r>
        <w:rPr>
          <w:rFonts w:ascii="Poppins" w:hAnsi="Poppins" w:cs="Poppins"/>
          <w:sz w:val="18"/>
          <w:szCs w:val="18"/>
        </w:rPr>
        <w:t>l</w:t>
      </w:r>
      <w:r w:rsidRPr="005A2471">
        <w:rPr>
          <w:rFonts w:ascii="Poppins" w:hAnsi="Poppins" w:cs="Poppins"/>
          <w:sz w:val="18"/>
          <w:szCs w:val="18"/>
        </w:rPr>
        <w:t xml:space="preserve"> proceso gradual de flexibilización de los recortes voluntarios que aplicó desde 2023. </w:t>
      </w:r>
      <w:r>
        <w:rPr>
          <w:rFonts w:ascii="Poppins" w:hAnsi="Poppins" w:cs="Poppins"/>
          <w:sz w:val="18"/>
          <w:szCs w:val="18"/>
        </w:rPr>
        <w:t>Cabe precisar que</w:t>
      </w:r>
      <w:r w:rsidRPr="005A2471">
        <w:rPr>
          <w:rFonts w:ascii="Poppins" w:hAnsi="Poppins" w:cs="Poppins"/>
          <w:sz w:val="18"/>
          <w:szCs w:val="18"/>
        </w:rPr>
        <w:t>, la ejecución real fue de solo entre 70%</w:t>
      </w:r>
      <w:r>
        <w:rPr>
          <w:rFonts w:ascii="Poppins" w:hAnsi="Poppins" w:cs="Poppins"/>
          <w:sz w:val="18"/>
          <w:szCs w:val="18"/>
        </w:rPr>
        <w:t xml:space="preserve"> </w:t>
      </w:r>
      <w:r w:rsidRPr="005A2471">
        <w:rPr>
          <w:rFonts w:ascii="Poppins" w:hAnsi="Poppins" w:cs="Poppins"/>
          <w:sz w:val="18"/>
          <w:szCs w:val="18"/>
        </w:rPr>
        <w:t>y</w:t>
      </w:r>
      <w:r>
        <w:rPr>
          <w:rFonts w:ascii="Poppins" w:hAnsi="Poppins" w:cs="Poppins"/>
          <w:sz w:val="18"/>
          <w:szCs w:val="18"/>
        </w:rPr>
        <w:t xml:space="preserve"> </w:t>
      </w:r>
      <w:r w:rsidRPr="005A2471">
        <w:rPr>
          <w:rFonts w:ascii="Poppins" w:hAnsi="Poppins" w:cs="Poppins"/>
          <w:sz w:val="18"/>
          <w:szCs w:val="18"/>
        </w:rPr>
        <w:t>75% de dichos aumentos, dado que varios miembros no alcanzaron sus cuotas por limitaciones técnicas o sanciones</w:t>
      </w:r>
      <w:r>
        <w:rPr>
          <w:rFonts w:ascii="Poppins" w:hAnsi="Poppins" w:cs="Poppins"/>
          <w:sz w:val="18"/>
          <w:szCs w:val="18"/>
        </w:rPr>
        <w:t>.</w:t>
      </w:r>
    </w:p>
    <w:p w14:paraId="3BA2F2E5" w14:textId="77777777" w:rsidR="00011F66" w:rsidRPr="005A2471" w:rsidRDefault="00011F66" w:rsidP="00011F66">
      <w:pPr>
        <w:shd w:val="clear" w:color="auto" w:fill="FFFFFF"/>
        <w:ind w:left="425"/>
        <w:jc w:val="both"/>
        <w:rPr>
          <w:rFonts w:ascii="Poppins" w:hAnsi="Poppins" w:cs="Poppins"/>
          <w:sz w:val="18"/>
          <w:szCs w:val="18"/>
        </w:rPr>
      </w:pPr>
    </w:p>
    <w:p w14:paraId="754D224A" w14:textId="77777777" w:rsidR="00011F66" w:rsidRDefault="00011F66" w:rsidP="00011F66">
      <w:pPr>
        <w:shd w:val="clear" w:color="auto" w:fill="FFFFFF"/>
        <w:ind w:left="425"/>
        <w:jc w:val="both"/>
        <w:rPr>
          <w:rFonts w:ascii="Poppins" w:hAnsi="Poppins" w:cs="Poppins"/>
          <w:sz w:val="18"/>
          <w:szCs w:val="18"/>
        </w:rPr>
      </w:pPr>
      <w:r w:rsidRPr="005A2471">
        <w:rPr>
          <w:rFonts w:ascii="Poppins" w:hAnsi="Poppins" w:cs="Poppins"/>
          <w:sz w:val="18"/>
          <w:szCs w:val="18"/>
        </w:rPr>
        <w:t>Tras este aumento, la OPEP</w:t>
      </w:r>
      <w:r>
        <w:rPr>
          <w:rFonts w:ascii="Poppins" w:hAnsi="Poppins" w:cs="Poppins"/>
          <w:sz w:val="18"/>
          <w:szCs w:val="18"/>
        </w:rPr>
        <w:t xml:space="preserve"> </w:t>
      </w:r>
      <w:r w:rsidRPr="005A2471">
        <w:rPr>
          <w:rFonts w:ascii="Poppins" w:hAnsi="Poppins" w:cs="Poppins"/>
          <w:sz w:val="18"/>
          <w:szCs w:val="18"/>
        </w:rPr>
        <w:t>decidió pausar nuevos incrementos de producción en el primer trimestre de 2026, citando señales tempranas de sobreoferta y debilitamiento de la demanda global.</w:t>
      </w:r>
      <w:r>
        <w:rPr>
          <w:rFonts w:ascii="Poppins" w:hAnsi="Poppins" w:cs="Poppins"/>
          <w:sz w:val="18"/>
          <w:szCs w:val="18"/>
        </w:rPr>
        <w:t xml:space="preserve"> </w:t>
      </w:r>
      <w:r w:rsidRPr="00EC0686">
        <w:rPr>
          <w:rFonts w:ascii="Poppins" w:hAnsi="Poppins" w:cs="Poppins"/>
          <w:sz w:val="18"/>
          <w:szCs w:val="18"/>
        </w:rPr>
        <w:t xml:space="preserve">Según Warren Patterson, jefe de estrategia de materias primas de ING Groep NV, </w:t>
      </w:r>
      <w:r w:rsidRPr="00021DDD">
        <w:rPr>
          <w:rFonts w:ascii="Poppins" w:hAnsi="Poppins" w:cs="Poppins"/>
          <w:i/>
          <w:iCs/>
          <w:sz w:val="18"/>
          <w:szCs w:val="18"/>
        </w:rPr>
        <w:t>“la decisión de la OPEP+ parece un reconocimiento del gran excedente al que se enfrenta el mercado, sobre todo a principios del próximo año”.</w:t>
      </w:r>
      <w:r w:rsidRPr="00EC0686">
        <w:rPr>
          <w:rFonts w:ascii="Poppins" w:hAnsi="Poppins" w:cs="Poppins"/>
          <w:sz w:val="18"/>
          <w:szCs w:val="18"/>
        </w:rPr>
        <w:t xml:space="preserve"> Por su parte, Suvro Sarkar, analista sénior de DBS Bank, añadió que </w:t>
      </w:r>
      <w:r w:rsidRPr="00021DDD">
        <w:rPr>
          <w:rFonts w:ascii="Poppins" w:hAnsi="Poppins" w:cs="Poppins"/>
          <w:i/>
          <w:iCs/>
          <w:sz w:val="18"/>
          <w:szCs w:val="18"/>
        </w:rPr>
        <w:t>“el mercado puede ver en este acuerdo la primera señal de que la OPEP+ reconoce la posibilidad de un exceso de oferta, aunque hasta ahora se ha mostrado muy optimista sobre la capacidad del mercado para absorber los barriles adicionales”</w:t>
      </w:r>
      <w:r w:rsidRPr="00EC0686">
        <w:rPr>
          <w:rFonts w:ascii="Poppins" w:hAnsi="Poppins" w:cs="Poppins"/>
          <w:sz w:val="18"/>
          <w:szCs w:val="18"/>
        </w:rPr>
        <w:t>.</w:t>
      </w:r>
    </w:p>
    <w:p w14:paraId="2B296EB0" w14:textId="77777777" w:rsidR="00011F66" w:rsidRPr="002C064A" w:rsidRDefault="00011F66" w:rsidP="00011F66">
      <w:pPr>
        <w:pStyle w:val="Prrafodelista"/>
        <w:numPr>
          <w:ilvl w:val="0"/>
          <w:numId w:val="30"/>
        </w:numPr>
        <w:ind w:left="425"/>
        <w:contextualSpacing/>
        <w:jc w:val="both"/>
        <w:rPr>
          <w:rFonts w:ascii="Poppins" w:hAnsi="Poppins" w:cs="Poppins"/>
          <w:b/>
          <w:sz w:val="18"/>
          <w:szCs w:val="18"/>
        </w:rPr>
      </w:pPr>
      <w:r w:rsidRPr="002C064A">
        <w:rPr>
          <w:rFonts w:ascii="Poppins" w:hAnsi="Poppins" w:cs="Poppins"/>
          <w:b/>
          <w:sz w:val="18"/>
          <w:szCs w:val="18"/>
        </w:rPr>
        <w:t xml:space="preserve">Debilidad manufacturera en EE.UU. y Asia </w:t>
      </w:r>
      <w:r>
        <w:rPr>
          <w:rFonts w:ascii="Poppins" w:hAnsi="Poppins" w:cs="Poppins"/>
          <w:b/>
          <w:sz w:val="18"/>
          <w:szCs w:val="18"/>
        </w:rPr>
        <w:t>en octubre ejerce presión sobre la demanda</w:t>
      </w:r>
    </w:p>
    <w:p w14:paraId="6F882EE0" w14:textId="77777777" w:rsidR="00011F66" w:rsidRDefault="00011F66" w:rsidP="00011F66">
      <w:pPr>
        <w:shd w:val="clear" w:color="auto" w:fill="FFFFFF"/>
        <w:ind w:left="425"/>
        <w:jc w:val="both"/>
        <w:rPr>
          <w:rFonts w:ascii="Poppins" w:hAnsi="Poppins" w:cs="Poppins"/>
          <w:sz w:val="18"/>
          <w:szCs w:val="18"/>
        </w:rPr>
      </w:pPr>
    </w:p>
    <w:p w14:paraId="567B3884" w14:textId="77777777" w:rsidR="00011F66" w:rsidRDefault="00011F66" w:rsidP="00011F66">
      <w:pPr>
        <w:shd w:val="clear" w:color="auto" w:fill="FFFFFF"/>
        <w:ind w:left="425"/>
        <w:jc w:val="both"/>
        <w:rPr>
          <w:rFonts w:ascii="Poppins" w:hAnsi="Poppins" w:cs="Poppins"/>
          <w:sz w:val="18"/>
          <w:szCs w:val="18"/>
        </w:rPr>
      </w:pPr>
      <w:r w:rsidRPr="002C064A">
        <w:rPr>
          <w:rFonts w:ascii="Poppins" w:hAnsi="Poppins" w:cs="Poppins"/>
          <w:sz w:val="18"/>
          <w:szCs w:val="18"/>
        </w:rPr>
        <w:t xml:space="preserve">En EE.UU., el índice ISM manufacturero cayó a 48,7 puntos, su octavo mes consecutivo en contracción, reflejando debilidad en nuevos pedidos y empleo. En contraste, el sector servicios </w:t>
      </w:r>
      <w:r>
        <w:rPr>
          <w:rFonts w:ascii="Poppins" w:hAnsi="Poppins" w:cs="Poppins"/>
          <w:sz w:val="18"/>
          <w:szCs w:val="18"/>
        </w:rPr>
        <w:t>creció</w:t>
      </w:r>
      <w:r w:rsidRPr="002C064A">
        <w:rPr>
          <w:rFonts w:ascii="Poppins" w:hAnsi="Poppins" w:cs="Poppins"/>
          <w:sz w:val="18"/>
          <w:szCs w:val="18"/>
        </w:rPr>
        <w:t xml:space="preserve"> a 52,4</w:t>
      </w:r>
      <w:r>
        <w:rPr>
          <w:rFonts w:ascii="Poppins" w:hAnsi="Poppins" w:cs="Poppins"/>
          <w:sz w:val="18"/>
          <w:szCs w:val="18"/>
        </w:rPr>
        <w:t xml:space="preserve"> puntos</w:t>
      </w:r>
      <w:r w:rsidRPr="002C064A">
        <w:rPr>
          <w:rFonts w:ascii="Poppins" w:hAnsi="Poppins" w:cs="Poppins"/>
          <w:sz w:val="18"/>
          <w:szCs w:val="18"/>
        </w:rPr>
        <w:t xml:space="preserve">, su mayor nivel en ocho meses, </w:t>
      </w:r>
      <w:r>
        <w:rPr>
          <w:rFonts w:ascii="Poppins" w:hAnsi="Poppins" w:cs="Poppins"/>
          <w:sz w:val="18"/>
          <w:szCs w:val="18"/>
        </w:rPr>
        <w:t xml:space="preserve">aunque </w:t>
      </w:r>
      <w:r w:rsidRPr="002C064A">
        <w:rPr>
          <w:rFonts w:ascii="Poppins" w:hAnsi="Poppins" w:cs="Poppins"/>
          <w:sz w:val="18"/>
          <w:szCs w:val="18"/>
        </w:rPr>
        <w:t xml:space="preserve">insuficiente para compensar la pérdida de </w:t>
      </w:r>
      <w:r>
        <w:rPr>
          <w:rFonts w:ascii="Poppins" w:hAnsi="Poppins" w:cs="Poppins"/>
          <w:sz w:val="18"/>
          <w:szCs w:val="18"/>
        </w:rPr>
        <w:t>impulso</w:t>
      </w:r>
      <w:r w:rsidRPr="002C064A">
        <w:rPr>
          <w:rFonts w:ascii="Poppins" w:hAnsi="Poppins" w:cs="Poppins"/>
          <w:sz w:val="18"/>
          <w:szCs w:val="18"/>
        </w:rPr>
        <w:t xml:space="preserve"> industrial. En Asia, el PMI</w:t>
      </w:r>
      <w:r>
        <w:rPr>
          <w:rFonts w:ascii="Poppins" w:hAnsi="Poppins" w:cs="Poppins"/>
          <w:sz w:val="18"/>
          <w:szCs w:val="18"/>
        </w:rPr>
        <w:t xml:space="preserve"> (índice de Gestores de Compras)</w:t>
      </w:r>
      <w:r w:rsidRPr="002C064A">
        <w:rPr>
          <w:rFonts w:ascii="Poppins" w:hAnsi="Poppins" w:cs="Poppins"/>
          <w:sz w:val="18"/>
          <w:szCs w:val="18"/>
        </w:rPr>
        <w:t xml:space="preserve"> oficial de China descendió a 49,0</w:t>
      </w:r>
      <w:r>
        <w:rPr>
          <w:rFonts w:ascii="Poppins" w:hAnsi="Poppins" w:cs="Poppins"/>
          <w:sz w:val="18"/>
          <w:szCs w:val="18"/>
        </w:rPr>
        <w:t xml:space="preserve">, marcando el </w:t>
      </w:r>
      <w:r w:rsidRPr="002C064A">
        <w:rPr>
          <w:rFonts w:ascii="Poppins" w:hAnsi="Poppins" w:cs="Poppins"/>
          <w:sz w:val="18"/>
          <w:szCs w:val="18"/>
        </w:rPr>
        <w:t>séptimo mes bajo 50</w:t>
      </w:r>
      <w:r>
        <w:rPr>
          <w:rFonts w:ascii="Poppins" w:hAnsi="Poppins" w:cs="Poppins"/>
          <w:sz w:val="18"/>
          <w:szCs w:val="18"/>
        </w:rPr>
        <w:t xml:space="preserve">, </w:t>
      </w:r>
      <w:r w:rsidRPr="002C064A">
        <w:rPr>
          <w:rFonts w:ascii="Poppins" w:hAnsi="Poppins" w:cs="Poppins"/>
          <w:sz w:val="18"/>
          <w:szCs w:val="18"/>
        </w:rPr>
        <w:t>mientras que el Caixin/S&amp;P Global se moderó a 50,6, señalando una leve expansión. Japón</w:t>
      </w:r>
      <w:r>
        <w:rPr>
          <w:rFonts w:ascii="Poppins" w:hAnsi="Poppins" w:cs="Poppins"/>
          <w:sz w:val="18"/>
          <w:szCs w:val="18"/>
        </w:rPr>
        <w:t xml:space="preserve"> por su parte</w:t>
      </w:r>
      <w:r w:rsidRPr="002C064A">
        <w:rPr>
          <w:rFonts w:ascii="Poppins" w:hAnsi="Poppins" w:cs="Poppins"/>
          <w:sz w:val="18"/>
          <w:szCs w:val="18"/>
        </w:rPr>
        <w:t xml:space="preserve"> registró 48,2, su mínimo en 19 meses, y Corea del Sur volvió a contracción con 49,4</w:t>
      </w:r>
      <w:r>
        <w:rPr>
          <w:rFonts w:ascii="Poppins" w:hAnsi="Poppins" w:cs="Poppins"/>
          <w:sz w:val="18"/>
          <w:szCs w:val="18"/>
        </w:rPr>
        <w:t>.</w:t>
      </w:r>
    </w:p>
    <w:p w14:paraId="50340495" w14:textId="77777777" w:rsidR="00011F66" w:rsidRDefault="00011F66" w:rsidP="00011F66">
      <w:pPr>
        <w:shd w:val="clear" w:color="auto" w:fill="FFFFFF"/>
        <w:ind w:left="425"/>
        <w:jc w:val="both"/>
        <w:rPr>
          <w:rFonts w:ascii="Poppins" w:hAnsi="Poppins" w:cs="Poppins"/>
          <w:sz w:val="18"/>
          <w:szCs w:val="18"/>
        </w:rPr>
      </w:pPr>
    </w:p>
    <w:p w14:paraId="76A09FCB" w14:textId="77777777" w:rsidR="00011F66" w:rsidRPr="006B4127" w:rsidRDefault="00011F66" w:rsidP="00011F66">
      <w:pPr>
        <w:shd w:val="clear" w:color="auto" w:fill="FFFFFF"/>
        <w:ind w:left="425"/>
        <w:jc w:val="both"/>
        <w:rPr>
          <w:rFonts w:ascii="Poppins" w:hAnsi="Poppins" w:cs="Poppins"/>
          <w:sz w:val="18"/>
          <w:szCs w:val="18"/>
        </w:rPr>
      </w:pPr>
      <w:r w:rsidRPr="0023564A">
        <w:rPr>
          <w:rFonts w:ascii="Poppins" w:hAnsi="Poppins" w:cs="Poppins"/>
          <w:sz w:val="18"/>
          <w:szCs w:val="18"/>
        </w:rPr>
        <w:t xml:space="preserve">Según John Evans, analista de PVM Oil Associates citado por Reuters, </w:t>
      </w:r>
      <w:r w:rsidRPr="008658B1">
        <w:rPr>
          <w:rFonts w:ascii="Poppins" w:hAnsi="Poppins" w:cs="Poppins"/>
          <w:i/>
          <w:iCs/>
          <w:sz w:val="18"/>
          <w:szCs w:val="18"/>
        </w:rPr>
        <w:t xml:space="preserve">“la sucesión de malos </w:t>
      </w:r>
      <w:r w:rsidRPr="006B4127">
        <w:rPr>
          <w:rFonts w:ascii="Poppins" w:hAnsi="Poppins" w:cs="Poppins"/>
          <w:i/>
          <w:iCs/>
          <w:sz w:val="18"/>
          <w:szCs w:val="18"/>
        </w:rPr>
        <w:t>datos manufactureros de Asia y luego el ISM estadounidense es preocupante para la demanda petrolera”</w:t>
      </w:r>
      <w:r w:rsidRPr="006B4127">
        <w:rPr>
          <w:rFonts w:ascii="Poppins" w:hAnsi="Poppins" w:cs="Poppins"/>
          <w:sz w:val="18"/>
          <w:szCs w:val="18"/>
        </w:rPr>
        <w:t>. Este diagnóstico advierte que esta desaceleración manufacturera reduciría el consumo de energía industrial, en especial de diésel, fuel oil y nafta.</w:t>
      </w:r>
    </w:p>
    <w:p w14:paraId="0B1F1C85" w14:textId="77777777" w:rsidR="00011F66" w:rsidRPr="006B4127" w:rsidRDefault="00011F66" w:rsidP="00011F66">
      <w:pPr>
        <w:shd w:val="clear" w:color="auto" w:fill="FFFFFF"/>
        <w:ind w:left="425"/>
        <w:jc w:val="both"/>
        <w:rPr>
          <w:rFonts w:ascii="Poppins" w:hAnsi="Poppins" w:cs="Poppins"/>
          <w:sz w:val="18"/>
          <w:szCs w:val="18"/>
        </w:rPr>
      </w:pPr>
    </w:p>
    <w:p w14:paraId="4395D1D7" w14:textId="77777777" w:rsidR="00011F66" w:rsidRPr="006B4127" w:rsidRDefault="00011F66" w:rsidP="00011F66">
      <w:pPr>
        <w:pStyle w:val="Prrafodelista"/>
        <w:numPr>
          <w:ilvl w:val="0"/>
          <w:numId w:val="30"/>
        </w:numPr>
        <w:ind w:left="425"/>
        <w:contextualSpacing/>
        <w:jc w:val="both"/>
        <w:rPr>
          <w:rFonts w:ascii="Poppins" w:hAnsi="Poppins" w:cs="Poppins"/>
          <w:b/>
          <w:sz w:val="18"/>
          <w:szCs w:val="18"/>
        </w:rPr>
      </w:pPr>
      <w:r w:rsidRPr="006B4127">
        <w:rPr>
          <w:rFonts w:ascii="Poppins" w:hAnsi="Poppins" w:cs="Poppins"/>
          <w:b/>
          <w:sz w:val="18"/>
          <w:szCs w:val="18"/>
        </w:rPr>
        <w:t>EE.UU. descarta acción militar en Venezuela, pero el mercado reacciona con cautela</w:t>
      </w:r>
    </w:p>
    <w:p w14:paraId="659FEF6F" w14:textId="77777777" w:rsidR="00011F66" w:rsidRPr="006B4127" w:rsidRDefault="00011F66" w:rsidP="00011F66">
      <w:pPr>
        <w:pStyle w:val="Prrafodelista"/>
        <w:ind w:left="425"/>
        <w:jc w:val="both"/>
        <w:rPr>
          <w:lang w:eastAsia="es-PE"/>
        </w:rPr>
      </w:pPr>
    </w:p>
    <w:p w14:paraId="43B1565B" w14:textId="77777777" w:rsidR="00011F66" w:rsidRPr="006B4127" w:rsidRDefault="00011F66" w:rsidP="00011F66">
      <w:pPr>
        <w:shd w:val="clear" w:color="auto" w:fill="FFFFFF"/>
        <w:ind w:left="425"/>
        <w:jc w:val="both"/>
        <w:rPr>
          <w:rFonts w:ascii="Poppins" w:hAnsi="Poppins" w:cs="Poppins"/>
          <w:sz w:val="18"/>
          <w:szCs w:val="18"/>
        </w:rPr>
      </w:pPr>
      <w:r w:rsidRPr="006B4127">
        <w:rPr>
          <w:rFonts w:ascii="Poppins" w:hAnsi="Poppins" w:cs="Poppins"/>
          <w:sz w:val="18"/>
          <w:szCs w:val="18"/>
        </w:rPr>
        <w:t>El 31 de octubre, medios estadounidenses informaron que se evaluaba posibles ataques aéreos contra objetivos en Venezuela, lo que generó un leve repunte del Brent a 65 US$/barril, reflejando la incertidumbre inicial. Las filtraciones, atribuidas a funcionarios del Pentágono y del Consejo de Seguridad Nacional, generaron reacciones inmediatas en los mercados y tensaron el escenario regional.</w:t>
      </w:r>
    </w:p>
    <w:p w14:paraId="054AC385" w14:textId="77777777" w:rsidR="00011F66" w:rsidRPr="006B4127" w:rsidRDefault="00011F66" w:rsidP="00011F66">
      <w:pPr>
        <w:shd w:val="clear" w:color="auto" w:fill="FFFFFF"/>
        <w:ind w:left="425"/>
        <w:jc w:val="both"/>
        <w:rPr>
          <w:rFonts w:ascii="Poppins" w:hAnsi="Poppins" w:cs="Poppins"/>
          <w:sz w:val="18"/>
          <w:szCs w:val="18"/>
        </w:rPr>
      </w:pPr>
    </w:p>
    <w:p w14:paraId="203B6C5B" w14:textId="77777777" w:rsidR="00011F66" w:rsidRPr="006B4127" w:rsidRDefault="00011F66" w:rsidP="00011F66">
      <w:pPr>
        <w:shd w:val="clear" w:color="auto" w:fill="FFFFFF"/>
        <w:ind w:left="425"/>
        <w:jc w:val="both"/>
        <w:rPr>
          <w:rFonts w:ascii="Poppins" w:hAnsi="Poppins" w:cs="Poppins"/>
          <w:sz w:val="18"/>
          <w:szCs w:val="18"/>
        </w:rPr>
      </w:pPr>
      <w:r w:rsidRPr="006B4127">
        <w:rPr>
          <w:rFonts w:ascii="Poppins" w:hAnsi="Poppins" w:cs="Poppins"/>
          <w:sz w:val="18"/>
          <w:szCs w:val="18"/>
        </w:rPr>
        <w:t xml:space="preserve">Horas después, Trump negó públicamente cualquier plan de ofensiva, señalando que </w:t>
      </w:r>
      <w:r w:rsidRPr="006B4127">
        <w:rPr>
          <w:rFonts w:ascii="Poppins" w:hAnsi="Poppins" w:cs="Poppins"/>
          <w:i/>
          <w:iCs/>
          <w:sz w:val="18"/>
          <w:szCs w:val="18"/>
        </w:rPr>
        <w:t>“no hay acción militar prevista, aunque todas las opciones siguen sobre la mesa”</w:t>
      </w:r>
      <w:r w:rsidRPr="006B4127">
        <w:rPr>
          <w:rFonts w:ascii="Poppins" w:hAnsi="Poppins" w:cs="Poppins"/>
          <w:sz w:val="18"/>
          <w:szCs w:val="18"/>
        </w:rPr>
        <w:t xml:space="preserve">. El Departamento de Estado reiteró que los EE.UU. mantiene una política de presión diplomática y sanciones económicas, no intervención directa. El Ministerio de Defensa venezolano calificó los reportes como </w:t>
      </w:r>
      <w:r w:rsidRPr="006B4127">
        <w:rPr>
          <w:rFonts w:ascii="Poppins" w:hAnsi="Poppins" w:cs="Poppins"/>
          <w:i/>
          <w:iCs/>
          <w:sz w:val="18"/>
          <w:szCs w:val="18"/>
        </w:rPr>
        <w:t>“operaciones de desinformación”</w:t>
      </w:r>
      <w:r w:rsidRPr="006B4127">
        <w:rPr>
          <w:rFonts w:ascii="Poppins" w:hAnsi="Poppins" w:cs="Poppins"/>
          <w:sz w:val="18"/>
          <w:szCs w:val="18"/>
        </w:rPr>
        <w:t xml:space="preserve"> y ordenó elevar el nivel de alerta en las regiones costeras de Falcón y Zulia.</w:t>
      </w:r>
    </w:p>
    <w:p w14:paraId="22B8AAE3" w14:textId="77777777" w:rsidR="00011F66" w:rsidRPr="006B4127" w:rsidRDefault="00011F66" w:rsidP="00011F66">
      <w:pPr>
        <w:shd w:val="clear" w:color="auto" w:fill="FFFFFF"/>
        <w:ind w:left="425"/>
        <w:jc w:val="both"/>
        <w:rPr>
          <w:rFonts w:ascii="Poppins" w:hAnsi="Poppins" w:cs="Poppins"/>
          <w:sz w:val="18"/>
          <w:szCs w:val="18"/>
        </w:rPr>
      </w:pPr>
    </w:p>
    <w:p w14:paraId="2180996A" w14:textId="77777777" w:rsidR="00011F66" w:rsidRPr="006B4127" w:rsidRDefault="00011F66" w:rsidP="00011F66">
      <w:pPr>
        <w:pStyle w:val="Prrafodelista"/>
        <w:numPr>
          <w:ilvl w:val="0"/>
          <w:numId w:val="30"/>
        </w:numPr>
        <w:ind w:left="425"/>
        <w:contextualSpacing/>
        <w:jc w:val="both"/>
        <w:rPr>
          <w:rFonts w:ascii="Poppins" w:hAnsi="Poppins" w:cs="Poppins"/>
          <w:b/>
          <w:sz w:val="18"/>
          <w:szCs w:val="18"/>
        </w:rPr>
      </w:pPr>
      <w:r w:rsidRPr="006B4127">
        <w:rPr>
          <w:rFonts w:ascii="Poppins" w:hAnsi="Poppins" w:cs="Poppins"/>
          <w:b/>
          <w:sz w:val="18"/>
          <w:szCs w:val="18"/>
        </w:rPr>
        <w:lastRenderedPageBreak/>
        <w:t>El alto el fuego entre Israel y Hamás se debilita tras nuevos ataques en Gaza</w:t>
      </w:r>
    </w:p>
    <w:p w14:paraId="5D8A2DE7" w14:textId="77777777" w:rsidR="00011F66" w:rsidRPr="006B4127" w:rsidRDefault="00011F66" w:rsidP="00011F66">
      <w:pPr>
        <w:jc w:val="both"/>
        <w:rPr>
          <w:rFonts w:ascii="Poppins" w:hAnsi="Poppins" w:cs="Poppins"/>
          <w:b/>
          <w:sz w:val="18"/>
          <w:szCs w:val="18"/>
        </w:rPr>
      </w:pPr>
    </w:p>
    <w:p w14:paraId="190FF22D" w14:textId="77777777" w:rsidR="00011F66" w:rsidRPr="006B4127" w:rsidRDefault="00011F66" w:rsidP="00011F66">
      <w:pPr>
        <w:shd w:val="clear" w:color="auto" w:fill="FFFFFF"/>
        <w:ind w:left="425"/>
        <w:jc w:val="both"/>
        <w:rPr>
          <w:rFonts w:ascii="Poppins" w:hAnsi="Poppins" w:cs="Poppins"/>
          <w:sz w:val="18"/>
          <w:szCs w:val="18"/>
        </w:rPr>
      </w:pPr>
      <w:r w:rsidRPr="006B4127">
        <w:rPr>
          <w:rFonts w:ascii="Poppins" w:hAnsi="Poppins" w:cs="Poppins"/>
          <w:sz w:val="18"/>
          <w:szCs w:val="18"/>
        </w:rPr>
        <w:t>El acuerdo vigente desde el 10 de octubre, mediado por EE.UU., Catar y Egipto, atraviesa su momento más crítico tras incursiones israelíes del 29 de octubre, que dejaron más de 100 muertos en Gaza, incluidos 46 niños. Israel argumenta que los bombardeos respondieron a violaciones de la tregua por parte de Hamás, que habría lanzado cohetes y emboscado patrullas en Rafah, mientras la organización palestina denuncia más de 80 incumplimientos israelíes y acusa a este gobierno de intentar provocar el colapso del pacto.</w:t>
      </w:r>
    </w:p>
    <w:p w14:paraId="13CA7A79" w14:textId="77777777" w:rsidR="00011F66" w:rsidRPr="006B4127" w:rsidRDefault="00011F66" w:rsidP="00011F66">
      <w:pPr>
        <w:shd w:val="clear" w:color="auto" w:fill="FFFFFF"/>
        <w:ind w:left="425"/>
        <w:jc w:val="both"/>
        <w:rPr>
          <w:rFonts w:ascii="Poppins" w:hAnsi="Poppins" w:cs="Poppins"/>
          <w:sz w:val="18"/>
          <w:szCs w:val="18"/>
        </w:rPr>
      </w:pPr>
    </w:p>
    <w:p w14:paraId="59C92A6E" w14:textId="77777777" w:rsidR="00011F66" w:rsidRPr="006B4127" w:rsidRDefault="00011F66" w:rsidP="00011F66">
      <w:pPr>
        <w:shd w:val="clear" w:color="auto" w:fill="FFFFFF"/>
        <w:ind w:left="425"/>
        <w:jc w:val="both"/>
        <w:rPr>
          <w:rFonts w:ascii="Poppins" w:hAnsi="Poppins" w:cs="Poppins"/>
          <w:sz w:val="18"/>
          <w:szCs w:val="18"/>
        </w:rPr>
      </w:pPr>
      <w:r w:rsidRPr="006B4127">
        <w:rPr>
          <w:rFonts w:ascii="Poppins" w:hAnsi="Poppins" w:cs="Poppins"/>
          <w:sz w:val="18"/>
          <w:szCs w:val="18"/>
        </w:rPr>
        <w:t>Aunque se mantienen los intercambios humanitarios, con la entrega de restos de soldados israelíes y prisioneros palestinos, los combates esporádicos y la lentitud en el ingreso de ayuda humanitaria mantienen la tregua en un equilibrio precario. La ONU alerta que la destrucción generalizada y el estancamiento de la reconstrucción podrían derivar en una nueva escalada militar si no se restablece el flujo de asistencia y la mediación internacional.</w:t>
      </w:r>
    </w:p>
    <w:p w14:paraId="156D99D3" w14:textId="77777777" w:rsidR="00011F66" w:rsidRPr="006B4127" w:rsidRDefault="00011F66" w:rsidP="00011F66">
      <w:pPr>
        <w:shd w:val="clear" w:color="auto" w:fill="FFFFFF"/>
        <w:ind w:left="425"/>
        <w:jc w:val="both"/>
        <w:rPr>
          <w:rFonts w:ascii="Poppins" w:hAnsi="Poppins" w:cs="Poppins"/>
          <w:sz w:val="18"/>
          <w:szCs w:val="18"/>
        </w:rPr>
      </w:pPr>
    </w:p>
    <w:p w14:paraId="28B301A8" w14:textId="77777777" w:rsidR="00011F66" w:rsidRPr="006B4127" w:rsidRDefault="00011F66" w:rsidP="00011F66">
      <w:pPr>
        <w:shd w:val="clear" w:color="auto" w:fill="FFFFFF"/>
        <w:ind w:left="425"/>
        <w:jc w:val="both"/>
        <w:rPr>
          <w:rFonts w:ascii="Poppins" w:hAnsi="Poppins" w:cs="Poppins"/>
          <w:sz w:val="18"/>
          <w:szCs w:val="18"/>
        </w:rPr>
      </w:pPr>
      <w:r w:rsidRPr="006B4127">
        <w:rPr>
          <w:rFonts w:ascii="Poppins" w:hAnsi="Poppins" w:cs="Poppins"/>
          <w:sz w:val="18"/>
          <w:szCs w:val="18"/>
        </w:rPr>
        <w:t>De reanudarse los enfrentamientos, el conflicto amenazaría la estabilidad regional y podría reactivar el riesgo geopolítico sobre los mercados energéticos, encareciendo los precios ante posibles disrupciones en el suministro del Mediterráneo y del Golfo Pérsico.</w:t>
      </w:r>
    </w:p>
    <w:p w14:paraId="765340E0" w14:textId="77777777" w:rsidR="00011F66" w:rsidRPr="006B4127" w:rsidRDefault="00011F66" w:rsidP="00011F66">
      <w:pPr>
        <w:shd w:val="clear" w:color="auto" w:fill="FFFFFF"/>
        <w:ind w:left="425"/>
        <w:jc w:val="both"/>
        <w:rPr>
          <w:rFonts w:ascii="Poppins" w:hAnsi="Poppins" w:cs="Poppins"/>
          <w:sz w:val="18"/>
          <w:szCs w:val="18"/>
        </w:rPr>
      </w:pPr>
    </w:p>
    <w:p w14:paraId="72ECD013" w14:textId="77777777" w:rsidR="00011F66" w:rsidRPr="006B4127" w:rsidRDefault="00011F66" w:rsidP="00011F66">
      <w:pPr>
        <w:shd w:val="clear" w:color="auto" w:fill="FFFFFF"/>
        <w:ind w:left="425"/>
        <w:jc w:val="both"/>
        <w:rPr>
          <w:rFonts w:ascii="Poppins" w:hAnsi="Poppins" w:cs="Poppins"/>
          <w:sz w:val="18"/>
          <w:szCs w:val="18"/>
        </w:rPr>
      </w:pPr>
    </w:p>
    <w:p w14:paraId="01F76F1A" w14:textId="77777777" w:rsidR="00011F66" w:rsidRPr="006B4127" w:rsidRDefault="00011F66" w:rsidP="00011F66">
      <w:pPr>
        <w:shd w:val="clear" w:color="auto" w:fill="FFFFFF"/>
        <w:ind w:left="425"/>
        <w:jc w:val="both"/>
        <w:rPr>
          <w:rFonts w:ascii="Poppins" w:hAnsi="Poppins" w:cs="Poppins"/>
          <w:sz w:val="18"/>
          <w:szCs w:val="18"/>
        </w:rPr>
      </w:pPr>
    </w:p>
    <w:p w14:paraId="0C6DF836" w14:textId="77777777" w:rsidR="00011F66" w:rsidRPr="006B4127" w:rsidRDefault="00011F66" w:rsidP="00011F66">
      <w:pPr>
        <w:pStyle w:val="Prrafodelista"/>
        <w:numPr>
          <w:ilvl w:val="0"/>
          <w:numId w:val="30"/>
        </w:numPr>
        <w:ind w:left="425"/>
        <w:contextualSpacing/>
        <w:jc w:val="both"/>
        <w:rPr>
          <w:rFonts w:ascii="Poppins" w:hAnsi="Poppins" w:cs="Poppins"/>
          <w:b/>
          <w:sz w:val="18"/>
          <w:szCs w:val="18"/>
        </w:rPr>
      </w:pPr>
      <w:r w:rsidRPr="006B4127">
        <w:rPr>
          <w:rFonts w:ascii="Poppins" w:hAnsi="Poppins" w:cs="Poppins"/>
          <w:b/>
          <w:sz w:val="18"/>
          <w:szCs w:val="18"/>
        </w:rPr>
        <w:t>EE.UU. y China logran tregua parcial tras amenaza de aranceles del 100%</w:t>
      </w:r>
    </w:p>
    <w:p w14:paraId="71D7F932" w14:textId="77777777" w:rsidR="00011F66" w:rsidRPr="006B4127" w:rsidRDefault="00011F66" w:rsidP="00011F66">
      <w:pPr>
        <w:shd w:val="clear" w:color="auto" w:fill="FFFFFF"/>
        <w:ind w:left="425"/>
        <w:jc w:val="both"/>
        <w:rPr>
          <w:rFonts w:ascii="Poppins" w:hAnsi="Poppins" w:cs="Poppins"/>
          <w:b/>
          <w:sz w:val="18"/>
          <w:szCs w:val="18"/>
        </w:rPr>
      </w:pPr>
    </w:p>
    <w:p w14:paraId="057FF23D" w14:textId="77777777" w:rsidR="00011F66" w:rsidRPr="006B4127" w:rsidRDefault="00011F66" w:rsidP="00011F66">
      <w:pPr>
        <w:shd w:val="clear" w:color="auto" w:fill="FFFFFF"/>
        <w:ind w:left="425"/>
        <w:jc w:val="both"/>
        <w:rPr>
          <w:rFonts w:ascii="Poppins" w:hAnsi="Poppins" w:cs="Poppins"/>
          <w:sz w:val="18"/>
          <w:szCs w:val="18"/>
        </w:rPr>
      </w:pPr>
      <w:r w:rsidRPr="006B4127">
        <w:rPr>
          <w:rFonts w:ascii="Poppins" w:hAnsi="Poppins" w:cs="Poppins"/>
          <w:sz w:val="18"/>
          <w:szCs w:val="18"/>
        </w:rPr>
        <w:t>Donald Trump confirmó que el alza arancelaria del 30% al 100% sobre más de USD 420 mil millones en importaciones chinas, prevista para el 1 de noviembre de 2025, fue postergada hasta el 10 de noviembre, tras una reunión con Xi Jinping en Busán. Ambos mandatarios acordaron abrir un nuevo marco de negociación comercial, en el que EE.UU. reducirá parcialmente ciertos aranceles (del 57% al 47%) y China suspendería represalias que incluían restricciones a la exportación de tierras raras, litio y metales estratégicos.</w:t>
      </w:r>
    </w:p>
    <w:p w14:paraId="187CB4E7" w14:textId="77777777" w:rsidR="00011F66" w:rsidRPr="006B4127" w:rsidRDefault="00011F66" w:rsidP="00011F66">
      <w:pPr>
        <w:shd w:val="clear" w:color="auto" w:fill="FFFFFF"/>
        <w:ind w:left="425"/>
        <w:jc w:val="both"/>
        <w:rPr>
          <w:rFonts w:ascii="Poppins" w:hAnsi="Poppins" w:cs="Poppins"/>
          <w:sz w:val="18"/>
          <w:szCs w:val="18"/>
        </w:rPr>
      </w:pPr>
    </w:p>
    <w:p w14:paraId="0334B1E0" w14:textId="77777777" w:rsidR="00011F66" w:rsidRPr="006B4127" w:rsidRDefault="00011F66" w:rsidP="00011F66">
      <w:pPr>
        <w:shd w:val="clear" w:color="auto" w:fill="FFFFFF"/>
        <w:ind w:left="425"/>
        <w:jc w:val="both"/>
        <w:rPr>
          <w:rFonts w:ascii="Poppins" w:hAnsi="Poppins" w:cs="Poppins"/>
          <w:b/>
          <w:sz w:val="18"/>
          <w:szCs w:val="18"/>
        </w:rPr>
      </w:pPr>
      <w:r w:rsidRPr="006B4127">
        <w:rPr>
          <w:rFonts w:ascii="Poppins" w:hAnsi="Poppins" w:cs="Poppins"/>
          <w:sz w:val="18"/>
          <w:szCs w:val="18"/>
        </w:rPr>
        <w:t>Pese a la tregua, los analistas advierten que la tensión comercial sigue latente. Según Oxford Economics, un escenario de ruptura total podría restar 0,5 puntos porcentuales al PIB mundial en 2026, mientras el FMI proyecta una caída potencial de 300 a 400 mil barriles diarios en la demanda global de crudo si se reactivan las medidas.</w:t>
      </w:r>
    </w:p>
    <w:p w14:paraId="70619967" w14:textId="77777777" w:rsidR="00784CB3" w:rsidRPr="00A54DE8" w:rsidRDefault="00784CB3" w:rsidP="00784CB3">
      <w:pPr>
        <w:shd w:val="clear" w:color="auto" w:fill="FFFFFF"/>
        <w:ind w:left="425"/>
        <w:jc w:val="both"/>
        <w:rPr>
          <w:rFonts w:ascii="Poppins" w:hAnsi="Poppins" w:cs="Poppins"/>
          <w:sz w:val="18"/>
          <w:szCs w:val="18"/>
          <w:highlight w:val="yellow"/>
        </w:rPr>
      </w:pPr>
    </w:p>
    <w:p w14:paraId="77901E32" w14:textId="6EE35E72" w:rsidR="0077092C" w:rsidRDefault="0077092C" w:rsidP="00AD0D2A">
      <w:pPr>
        <w:shd w:val="clear" w:color="auto" w:fill="FFFFFF"/>
        <w:ind w:left="425"/>
        <w:jc w:val="both"/>
        <w:rPr>
          <w:rFonts w:ascii="Poppins" w:hAnsi="Poppins" w:cs="Poppins"/>
          <w:sz w:val="18"/>
          <w:szCs w:val="18"/>
        </w:rPr>
      </w:pPr>
    </w:p>
    <w:p w14:paraId="23AB260A" w14:textId="77777777" w:rsidR="0077092C" w:rsidRDefault="0077092C"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Desde mayo 2023, una significativa sequía afecta el suministro de agua del Canal de Panamá. En julio pasado, el nivel del lago Gatún –principal fuente de abastecimiento del Canal de </w:t>
      </w:r>
      <w:r w:rsidRPr="0096213B">
        <w:rPr>
          <w:rFonts w:ascii="Poppins" w:hAnsi="Poppins" w:cs="Poppins"/>
          <w:sz w:val="18"/>
          <w:szCs w:val="18"/>
        </w:rPr>
        <w:lastRenderedPageBreak/>
        <w:t>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 xml:space="preserve">2 que muestra los fletes de referencia de importación del GLP y Diésel, en la ruta Houston - Callao.  Esto se debe a </w:t>
      </w:r>
      <w:r w:rsidRPr="0096213B">
        <w:rPr>
          <w:rFonts w:ascii="Poppins" w:eastAsiaTheme="minorHAnsi" w:hAnsi="Poppins" w:cs="Poppins"/>
          <w:color w:val="191919"/>
          <w:kern w:val="2"/>
          <w:sz w:val="18"/>
          <w:szCs w:val="18"/>
          <w:lang w:eastAsia="en-US"/>
          <w14:ligatures w14:val="standardContextual"/>
        </w:rPr>
        <w:lastRenderedPageBreak/>
        <w:t>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41026E85">
            <wp:extent cx="5172075" cy="3535690"/>
            <wp:effectExtent l="0" t="0" r="0"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43683" cy="3584642"/>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35723F03" w:rsidR="006A59A3" w:rsidRDefault="006A59A3" w:rsidP="00D87FA1">
      <w:pPr>
        <w:ind w:left="426"/>
        <w:jc w:val="both"/>
        <w:rPr>
          <w:rFonts w:ascii="Poppins" w:hAnsi="Poppins" w:cs="Poppins"/>
          <w:sz w:val="18"/>
          <w:szCs w:val="18"/>
        </w:rPr>
      </w:pPr>
    </w:p>
    <w:p w14:paraId="69B28673" w14:textId="4AFA927A" w:rsidR="00597A5D" w:rsidRDefault="00597A5D" w:rsidP="00D87FA1">
      <w:pPr>
        <w:ind w:left="426"/>
        <w:jc w:val="both"/>
        <w:rPr>
          <w:rFonts w:ascii="Poppins" w:hAnsi="Poppins" w:cs="Poppins"/>
          <w:sz w:val="18"/>
          <w:szCs w:val="18"/>
        </w:rPr>
      </w:pPr>
    </w:p>
    <w:p w14:paraId="09D22C9D" w14:textId="5F0648CB" w:rsidR="00B2197E" w:rsidRDefault="00B2197E" w:rsidP="00D87FA1">
      <w:pPr>
        <w:ind w:left="426"/>
        <w:jc w:val="both"/>
        <w:rPr>
          <w:rFonts w:ascii="Poppins" w:hAnsi="Poppins" w:cs="Poppins"/>
          <w:sz w:val="18"/>
          <w:szCs w:val="18"/>
        </w:rPr>
      </w:pPr>
    </w:p>
    <w:p w14:paraId="0F2371B6" w14:textId="058E9301" w:rsidR="00B2197E" w:rsidRDefault="00B2197E" w:rsidP="00D87FA1">
      <w:pPr>
        <w:ind w:left="426"/>
        <w:jc w:val="both"/>
        <w:rPr>
          <w:rFonts w:ascii="Poppins" w:hAnsi="Poppins" w:cs="Poppins"/>
          <w:sz w:val="18"/>
          <w:szCs w:val="18"/>
        </w:rPr>
      </w:pPr>
    </w:p>
    <w:p w14:paraId="49AA5059" w14:textId="25D94F02" w:rsidR="00784CB3" w:rsidRDefault="00784CB3" w:rsidP="00D87FA1">
      <w:pPr>
        <w:ind w:left="426"/>
        <w:jc w:val="both"/>
        <w:rPr>
          <w:rFonts w:ascii="Poppins" w:hAnsi="Poppins" w:cs="Poppins"/>
          <w:sz w:val="18"/>
          <w:szCs w:val="18"/>
        </w:rPr>
      </w:pPr>
    </w:p>
    <w:p w14:paraId="1CB8D00D" w14:textId="791251C5" w:rsidR="00784CB3" w:rsidRDefault="00784CB3" w:rsidP="00D87FA1">
      <w:pPr>
        <w:ind w:left="426"/>
        <w:jc w:val="both"/>
        <w:rPr>
          <w:rFonts w:ascii="Poppins" w:hAnsi="Poppins" w:cs="Poppins"/>
          <w:sz w:val="18"/>
          <w:szCs w:val="18"/>
        </w:rPr>
      </w:pPr>
    </w:p>
    <w:p w14:paraId="4ED7E49B" w14:textId="4B69F9D5" w:rsidR="00784CB3" w:rsidRDefault="00784CB3" w:rsidP="00D87FA1">
      <w:pPr>
        <w:ind w:left="426"/>
        <w:jc w:val="both"/>
        <w:rPr>
          <w:rFonts w:ascii="Poppins" w:hAnsi="Poppins" w:cs="Poppins"/>
          <w:sz w:val="18"/>
          <w:szCs w:val="18"/>
        </w:rPr>
      </w:pPr>
    </w:p>
    <w:p w14:paraId="3BA22CF5" w14:textId="57A37EE8" w:rsidR="00784CB3" w:rsidRDefault="00784CB3" w:rsidP="00D87FA1">
      <w:pPr>
        <w:ind w:left="426"/>
        <w:jc w:val="both"/>
        <w:rPr>
          <w:rFonts w:ascii="Poppins" w:hAnsi="Poppins" w:cs="Poppins"/>
          <w:sz w:val="18"/>
          <w:szCs w:val="18"/>
        </w:rPr>
      </w:pPr>
    </w:p>
    <w:p w14:paraId="36486432" w14:textId="1238AACF" w:rsidR="00784CB3" w:rsidRDefault="00784CB3" w:rsidP="00D87FA1">
      <w:pPr>
        <w:ind w:left="426"/>
        <w:jc w:val="both"/>
        <w:rPr>
          <w:rFonts w:ascii="Poppins" w:hAnsi="Poppins" w:cs="Poppins"/>
          <w:sz w:val="18"/>
          <w:szCs w:val="18"/>
        </w:rPr>
      </w:pPr>
    </w:p>
    <w:p w14:paraId="22FD761B" w14:textId="70A8B868" w:rsidR="00784CB3" w:rsidRDefault="00784CB3" w:rsidP="00D87FA1">
      <w:pPr>
        <w:ind w:left="426"/>
        <w:jc w:val="both"/>
        <w:rPr>
          <w:rFonts w:ascii="Poppins" w:hAnsi="Poppins" w:cs="Poppins"/>
          <w:sz w:val="18"/>
          <w:szCs w:val="18"/>
        </w:rPr>
      </w:pPr>
    </w:p>
    <w:p w14:paraId="13B75C61" w14:textId="7C5FAC9B" w:rsidR="00784CB3" w:rsidRDefault="00784CB3" w:rsidP="00D87FA1">
      <w:pPr>
        <w:ind w:left="426"/>
        <w:jc w:val="both"/>
        <w:rPr>
          <w:rFonts w:ascii="Poppins" w:hAnsi="Poppins" w:cs="Poppins"/>
          <w:sz w:val="18"/>
          <w:szCs w:val="18"/>
        </w:rPr>
      </w:pPr>
    </w:p>
    <w:p w14:paraId="429815A2" w14:textId="5F82CAAE" w:rsidR="00B2197E" w:rsidRDefault="00B2197E" w:rsidP="00D87FA1">
      <w:pPr>
        <w:ind w:left="426"/>
        <w:jc w:val="both"/>
        <w:rPr>
          <w:rFonts w:ascii="Poppins" w:hAnsi="Poppins" w:cs="Poppins"/>
          <w:sz w:val="18"/>
          <w:szCs w:val="18"/>
        </w:rPr>
      </w:pPr>
    </w:p>
    <w:p w14:paraId="37A66574" w14:textId="058EF0BB" w:rsidR="00B2197E" w:rsidRDefault="00B2197E" w:rsidP="00D87FA1">
      <w:pPr>
        <w:ind w:left="426"/>
        <w:jc w:val="both"/>
        <w:rPr>
          <w:rFonts w:ascii="Poppins" w:hAnsi="Poppins" w:cs="Poppins"/>
          <w:sz w:val="18"/>
          <w:szCs w:val="18"/>
        </w:rPr>
      </w:pPr>
    </w:p>
    <w:p w14:paraId="57B5E463" w14:textId="23CDF757" w:rsidR="00B2197E" w:rsidRDefault="00B2197E" w:rsidP="00D87FA1">
      <w:pPr>
        <w:ind w:left="426"/>
        <w:jc w:val="both"/>
        <w:rPr>
          <w:rFonts w:ascii="Poppins" w:hAnsi="Poppins" w:cs="Poppins"/>
          <w:sz w:val="18"/>
          <w:szCs w:val="18"/>
        </w:rPr>
      </w:pPr>
    </w:p>
    <w:p w14:paraId="2F969767" w14:textId="3F3B193E" w:rsidR="00011F66" w:rsidRDefault="00011F66" w:rsidP="00D87FA1">
      <w:pPr>
        <w:ind w:left="426"/>
        <w:jc w:val="both"/>
        <w:rPr>
          <w:rFonts w:ascii="Poppins" w:hAnsi="Poppins" w:cs="Poppins"/>
          <w:sz w:val="18"/>
          <w:szCs w:val="18"/>
        </w:rPr>
      </w:pPr>
    </w:p>
    <w:p w14:paraId="59443CA8" w14:textId="29D7F0C5" w:rsidR="00011F66" w:rsidRDefault="00011F66" w:rsidP="00D87FA1">
      <w:pPr>
        <w:ind w:left="426"/>
        <w:jc w:val="both"/>
        <w:rPr>
          <w:rFonts w:ascii="Poppins" w:hAnsi="Poppins" w:cs="Poppins"/>
          <w:sz w:val="18"/>
          <w:szCs w:val="18"/>
        </w:rPr>
      </w:pPr>
    </w:p>
    <w:p w14:paraId="5C3C7315" w14:textId="1617CB57" w:rsidR="00011F66" w:rsidRDefault="00011F66" w:rsidP="00D87FA1">
      <w:pPr>
        <w:ind w:left="426"/>
        <w:jc w:val="both"/>
        <w:rPr>
          <w:rFonts w:ascii="Poppins" w:hAnsi="Poppins" w:cs="Poppins"/>
          <w:sz w:val="18"/>
          <w:szCs w:val="18"/>
        </w:rPr>
      </w:pPr>
    </w:p>
    <w:p w14:paraId="29E092DC" w14:textId="276EDBFD" w:rsidR="00011F66" w:rsidRDefault="00011F66" w:rsidP="00D87FA1">
      <w:pPr>
        <w:ind w:left="426"/>
        <w:jc w:val="both"/>
        <w:rPr>
          <w:rFonts w:ascii="Poppins" w:hAnsi="Poppins" w:cs="Poppins"/>
          <w:sz w:val="18"/>
          <w:szCs w:val="18"/>
        </w:rPr>
      </w:pPr>
    </w:p>
    <w:p w14:paraId="62FA391F" w14:textId="346E4DA7" w:rsidR="00011F66" w:rsidRDefault="00011F66" w:rsidP="00D87FA1">
      <w:pPr>
        <w:ind w:left="426"/>
        <w:jc w:val="both"/>
        <w:rPr>
          <w:rFonts w:ascii="Poppins" w:hAnsi="Poppins" w:cs="Poppins"/>
          <w:sz w:val="18"/>
          <w:szCs w:val="18"/>
        </w:rPr>
      </w:pPr>
    </w:p>
    <w:p w14:paraId="06A5CF05" w14:textId="2203B402" w:rsidR="00011F66" w:rsidRDefault="00011F66" w:rsidP="00D87FA1">
      <w:pPr>
        <w:ind w:left="426"/>
        <w:jc w:val="both"/>
        <w:rPr>
          <w:rFonts w:ascii="Poppins" w:hAnsi="Poppins" w:cs="Poppins"/>
          <w:sz w:val="18"/>
          <w:szCs w:val="18"/>
        </w:rPr>
      </w:pPr>
    </w:p>
    <w:p w14:paraId="031D6541" w14:textId="77777777" w:rsidR="00011F66" w:rsidRDefault="00011F66" w:rsidP="00D87FA1">
      <w:pPr>
        <w:ind w:left="426"/>
        <w:jc w:val="both"/>
        <w:rPr>
          <w:rFonts w:ascii="Poppins" w:hAnsi="Poppins" w:cs="Poppins"/>
          <w:sz w:val="18"/>
          <w:szCs w:val="18"/>
        </w:rPr>
      </w:pPr>
    </w:p>
    <w:p w14:paraId="4234D81E" w14:textId="0053DAEF" w:rsidR="0077092C" w:rsidRDefault="0077092C" w:rsidP="00D87FA1">
      <w:pPr>
        <w:ind w:left="426"/>
        <w:jc w:val="both"/>
        <w:rPr>
          <w:rFonts w:ascii="Poppins" w:hAnsi="Poppins" w:cs="Poppins"/>
          <w:sz w:val="18"/>
          <w:szCs w:val="18"/>
        </w:rPr>
      </w:pPr>
    </w:p>
    <w:p w14:paraId="3E905062" w14:textId="77777777" w:rsidR="00150187" w:rsidRDefault="00150187"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Decreto Supremo N°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7BD601AD"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70513D">
        <w:rPr>
          <w:rFonts w:ascii="Poppins" w:hAnsi="Poppins" w:cs="Poppins"/>
          <w:sz w:val="18"/>
          <w:szCs w:val="18"/>
        </w:rPr>
        <w:t>2</w:t>
      </w:r>
      <w:r w:rsidR="0066254E">
        <w:rPr>
          <w:rFonts w:ascii="Poppins" w:hAnsi="Poppins" w:cs="Poppins"/>
          <w:sz w:val="18"/>
          <w:szCs w:val="18"/>
        </w:rPr>
        <w:t>7</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Banda de Precios y el Margen Comercial para el Petróleo Industrial N° 6 utilizado en actividades de generación eléctrica en sistemas eléctricos Aislados con vigencia desde el 2</w:t>
      </w:r>
      <w:r w:rsidR="0066254E">
        <w:rPr>
          <w:rFonts w:ascii="Poppins" w:hAnsi="Poppins" w:cs="Poppins"/>
          <w:sz w:val="18"/>
          <w:szCs w:val="18"/>
        </w:rPr>
        <w:t>9</w:t>
      </w:r>
      <w:r w:rsidR="004748A9" w:rsidRPr="00581B20">
        <w:rPr>
          <w:rFonts w:ascii="Poppins" w:hAnsi="Poppins" w:cs="Poppins"/>
          <w:sz w:val="18"/>
          <w:szCs w:val="18"/>
        </w:rPr>
        <w:t xml:space="preserve"> de </w:t>
      </w:r>
      <w:r w:rsidR="0066254E">
        <w:rPr>
          <w:rFonts w:ascii="Poppins" w:hAnsi="Poppins" w:cs="Poppins"/>
          <w:sz w:val="18"/>
          <w:szCs w:val="18"/>
        </w:rPr>
        <w:t>agosto</w:t>
      </w:r>
      <w:r w:rsidR="004748A9" w:rsidRPr="00581B20">
        <w:rPr>
          <w:rFonts w:ascii="Poppins" w:hAnsi="Poppins" w:cs="Poppins"/>
          <w:sz w:val="18"/>
          <w:szCs w:val="18"/>
        </w:rPr>
        <w:t xml:space="preserve"> de 2025 hasta el </w:t>
      </w:r>
      <w:r w:rsidR="0066254E">
        <w:rPr>
          <w:rFonts w:ascii="Poppins" w:hAnsi="Poppins" w:cs="Poppins"/>
          <w:sz w:val="18"/>
          <w:szCs w:val="18"/>
        </w:rPr>
        <w:t>30</w:t>
      </w:r>
      <w:r w:rsidR="004748A9" w:rsidRPr="00581B20">
        <w:rPr>
          <w:rFonts w:ascii="Poppins" w:hAnsi="Poppins" w:cs="Poppins"/>
          <w:sz w:val="18"/>
          <w:szCs w:val="18"/>
        </w:rPr>
        <w:t xml:space="preserve"> de </w:t>
      </w:r>
      <w:r w:rsidR="0066254E">
        <w:rPr>
          <w:rFonts w:ascii="Poppins" w:hAnsi="Poppins" w:cs="Poppins"/>
          <w:sz w:val="18"/>
          <w:szCs w:val="18"/>
        </w:rPr>
        <w:t>octubre</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22193419"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70513D">
        <w:rPr>
          <w:rFonts w:ascii="Poppins" w:hAnsi="Poppins" w:cs="Poppins"/>
          <w:sz w:val="18"/>
          <w:szCs w:val="18"/>
        </w:rPr>
        <w:t>2</w:t>
      </w:r>
      <w:r w:rsidR="007C4098">
        <w:rPr>
          <w:rFonts w:ascii="Poppins" w:hAnsi="Poppins" w:cs="Poppins"/>
          <w:sz w:val="18"/>
          <w:szCs w:val="18"/>
        </w:rPr>
        <w:t>9</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w:t>
      </w:r>
      <w:r w:rsidR="007C4098">
        <w:rPr>
          <w:rFonts w:ascii="Poppins" w:hAnsi="Poppins" w:cs="Poppins"/>
          <w:sz w:val="18"/>
          <w:szCs w:val="18"/>
        </w:rPr>
        <w:t>26 de</w:t>
      </w:r>
      <w:r w:rsidRPr="00581B20">
        <w:rPr>
          <w:rFonts w:ascii="Poppins" w:hAnsi="Poppins" w:cs="Poppins"/>
          <w:sz w:val="18"/>
          <w:szCs w:val="18"/>
        </w:rPr>
        <w:t xml:space="preserve"> </w:t>
      </w:r>
      <w:r w:rsidR="007C4098">
        <w:rPr>
          <w:rFonts w:ascii="Poppins" w:hAnsi="Poppins" w:cs="Poppins"/>
          <w:sz w:val="18"/>
          <w:szCs w:val="18"/>
        </w:rPr>
        <w:t>septiembre</w:t>
      </w:r>
      <w:r w:rsidRPr="00581B20">
        <w:rPr>
          <w:rFonts w:ascii="Poppins" w:hAnsi="Poppins" w:cs="Poppins"/>
          <w:sz w:val="18"/>
          <w:szCs w:val="18"/>
        </w:rPr>
        <w:t xml:space="preserve"> de 2025 hasta el </w:t>
      </w:r>
      <w:r w:rsidR="00D063A9">
        <w:rPr>
          <w:rFonts w:ascii="Poppins" w:hAnsi="Poppins" w:cs="Poppins"/>
          <w:sz w:val="18"/>
          <w:szCs w:val="18"/>
        </w:rPr>
        <w:t>jueves</w:t>
      </w:r>
      <w:r w:rsidRPr="00581B20">
        <w:rPr>
          <w:rFonts w:ascii="Poppins" w:hAnsi="Poppins" w:cs="Poppins"/>
          <w:sz w:val="18"/>
          <w:szCs w:val="18"/>
        </w:rPr>
        <w:t xml:space="preserve"> </w:t>
      </w:r>
      <w:r w:rsidR="00D063A9">
        <w:rPr>
          <w:rFonts w:ascii="Poppins" w:hAnsi="Poppins" w:cs="Poppins"/>
          <w:sz w:val="18"/>
          <w:szCs w:val="18"/>
        </w:rPr>
        <w:t>3</w:t>
      </w:r>
      <w:r w:rsidR="007C4098">
        <w:rPr>
          <w:rFonts w:ascii="Poppins" w:hAnsi="Poppins" w:cs="Poppins"/>
          <w:sz w:val="18"/>
          <w:szCs w:val="18"/>
        </w:rPr>
        <w:t>0</w:t>
      </w:r>
      <w:r w:rsidRPr="00581B20">
        <w:rPr>
          <w:rFonts w:ascii="Poppins" w:hAnsi="Poppins" w:cs="Poppins"/>
          <w:sz w:val="18"/>
          <w:szCs w:val="18"/>
        </w:rPr>
        <w:t xml:space="preserve"> de </w:t>
      </w:r>
      <w:r w:rsidR="007C4098">
        <w:rPr>
          <w:rFonts w:ascii="Poppins" w:hAnsi="Poppins" w:cs="Poppins"/>
          <w:sz w:val="18"/>
          <w:szCs w:val="18"/>
        </w:rPr>
        <w:t>octubre</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4958E300"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N° </w:t>
      </w:r>
      <w:r w:rsidR="00E26DC5">
        <w:rPr>
          <w:rFonts w:ascii="Poppins" w:hAnsi="Poppins" w:cs="Poppins"/>
          <w:sz w:val="18"/>
          <w:szCs w:val="18"/>
        </w:rPr>
        <w:t>0</w:t>
      </w:r>
      <w:r w:rsidR="00756CA3">
        <w:rPr>
          <w:rFonts w:ascii="Poppins" w:hAnsi="Poppins" w:cs="Poppins"/>
          <w:sz w:val="18"/>
          <w:szCs w:val="18"/>
        </w:rPr>
        <w:t>33</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D8224E">
        <w:rPr>
          <w:rFonts w:ascii="Poppins" w:hAnsi="Poppins" w:cs="Poppins"/>
          <w:sz w:val="18"/>
          <w:szCs w:val="18"/>
        </w:rPr>
        <w:t>11</w:t>
      </w:r>
      <w:r w:rsidR="007C4098" w:rsidRPr="00581B20">
        <w:rPr>
          <w:rFonts w:ascii="Poppins" w:hAnsi="Poppins" w:cs="Poppins"/>
          <w:sz w:val="18"/>
          <w:szCs w:val="18"/>
        </w:rPr>
        <w:t xml:space="preserve"> de </w:t>
      </w:r>
      <w:r w:rsidR="00756CA3">
        <w:rPr>
          <w:rFonts w:ascii="Poppins" w:hAnsi="Poppins" w:cs="Poppins"/>
          <w:sz w:val="18"/>
          <w:szCs w:val="18"/>
        </w:rPr>
        <w:t>noviembre</w:t>
      </w:r>
      <w:r w:rsidR="007C4098" w:rsidRPr="00581B20">
        <w:rPr>
          <w:rFonts w:ascii="Poppins" w:hAnsi="Poppins" w:cs="Poppins"/>
          <w:sz w:val="18"/>
          <w:szCs w:val="18"/>
        </w:rPr>
        <w:t xml:space="preserve"> de 2025 hasta el </w:t>
      </w:r>
      <w:r w:rsidR="00756CA3">
        <w:rPr>
          <w:rFonts w:ascii="Poppins" w:hAnsi="Poppins" w:cs="Poppins"/>
          <w:sz w:val="18"/>
          <w:szCs w:val="18"/>
        </w:rPr>
        <w:t>lunes</w:t>
      </w:r>
      <w:r w:rsidR="007C4098" w:rsidRPr="00581B20">
        <w:rPr>
          <w:rFonts w:ascii="Poppins" w:hAnsi="Poppins" w:cs="Poppins"/>
          <w:sz w:val="18"/>
          <w:szCs w:val="18"/>
        </w:rPr>
        <w:t xml:space="preserve"> </w:t>
      </w:r>
      <w:r w:rsidR="00756CA3">
        <w:rPr>
          <w:rFonts w:ascii="Poppins" w:hAnsi="Poppins" w:cs="Poppins"/>
          <w:sz w:val="18"/>
          <w:szCs w:val="18"/>
        </w:rPr>
        <w:t>1</w:t>
      </w:r>
      <w:r w:rsidR="00D8224E">
        <w:rPr>
          <w:rFonts w:ascii="Poppins" w:hAnsi="Poppins" w:cs="Poppins"/>
          <w:sz w:val="18"/>
          <w:szCs w:val="18"/>
        </w:rPr>
        <w:t>7</w:t>
      </w:r>
      <w:r w:rsidR="007C4098" w:rsidRPr="00581B20">
        <w:rPr>
          <w:rFonts w:ascii="Poppins" w:hAnsi="Poppins" w:cs="Poppins"/>
          <w:sz w:val="18"/>
          <w:szCs w:val="18"/>
        </w:rPr>
        <w:t xml:space="preserve"> de</w:t>
      </w:r>
      <w:r w:rsidR="00756CA3">
        <w:rPr>
          <w:rFonts w:ascii="Poppins" w:hAnsi="Poppins" w:cs="Poppins"/>
          <w:sz w:val="18"/>
          <w:szCs w:val="18"/>
        </w:rPr>
        <w:t xml:space="preserve"> noviembre</w:t>
      </w:r>
      <w:r w:rsidR="007C4098" w:rsidRPr="00581B20">
        <w:rPr>
          <w:rFonts w:ascii="Poppins" w:hAnsi="Poppins" w:cs="Poppins"/>
          <w:sz w:val="18"/>
          <w:szCs w:val="18"/>
        </w:rPr>
        <w:t xml:space="preserve"> de 2025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3A7AD6C4" w:rsidR="00E804F9" w:rsidRPr="00C87735" w:rsidRDefault="00593ACE" w:rsidP="009B438E">
      <w:pPr>
        <w:pStyle w:val="Sangradetextonormal"/>
        <w:numPr>
          <w:ilvl w:val="0"/>
          <w:numId w:val="16"/>
        </w:numPr>
        <w:ind w:left="568" w:hanging="426"/>
        <w:rPr>
          <w:rFonts w:ascii="Poppins" w:hAnsi="Poppins" w:cs="Poppins"/>
          <w:sz w:val="18"/>
          <w:szCs w:val="18"/>
        </w:rPr>
      </w:pPr>
      <w:r w:rsidRPr="00684D32">
        <w:rPr>
          <w:rFonts w:ascii="Poppins" w:hAnsi="Poppins" w:cs="Poppins"/>
          <w:sz w:val="18"/>
          <w:szCs w:val="18"/>
        </w:rPr>
        <w:t xml:space="preserve">El día </w:t>
      </w:r>
      <w:r w:rsidR="00D8224E">
        <w:rPr>
          <w:rFonts w:ascii="Poppins" w:hAnsi="Poppins" w:cs="Poppins"/>
          <w:sz w:val="18"/>
          <w:szCs w:val="18"/>
        </w:rPr>
        <w:t>11</w:t>
      </w:r>
      <w:r w:rsidRPr="00684D32">
        <w:rPr>
          <w:rFonts w:ascii="Poppins" w:hAnsi="Poppins" w:cs="Poppins"/>
          <w:sz w:val="18"/>
          <w:szCs w:val="18"/>
        </w:rPr>
        <w:t>.</w:t>
      </w:r>
      <w:r w:rsidR="00C27332">
        <w:rPr>
          <w:rFonts w:ascii="Poppins" w:hAnsi="Poppins" w:cs="Poppins"/>
          <w:sz w:val="18"/>
          <w:szCs w:val="18"/>
        </w:rPr>
        <w:t>1</w:t>
      </w:r>
      <w:r w:rsidR="00756CA3">
        <w:rPr>
          <w:rFonts w:ascii="Poppins" w:hAnsi="Poppins" w:cs="Poppins"/>
          <w:sz w:val="18"/>
          <w:szCs w:val="18"/>
        </w:rPr>
        <w:t>1</w:t>
      </w:r>
      <w:r w:rsidRPr="00684D32">
        <w:rPr>
          <w:rFonts w:ascii="Poppins" w:hAnsi="Poppins" w:cs="Poppins"/>
          <w:sz w:val="18"/>
          <w:szCs w:val="18"/>
        </w:rPr>
        <w:t>.202</w:t>
      </w:r>
      <w:r w:rsidR="0082707D" w:rsidRPr="00684D32">
        <w:rPr>
          <w:rFonts w:ascii="Poppins" w:hAnsi="Poppins" w:cs="Poppins"/>
          <w:sz w:val="18"/>
          <w:szCs w:val="18"/>
        </w:rPr>
        <w:t>5</w:t>
      </w:r>
      <w:r w:rsidRPr="00684D32">
        <w:rPr>
          <w:rFonts w:ascii="Poppins" w:hAnsi="Poppins" w:cs="Poppins"/>
          <w:sz w:val="18"/>
          <w:szCs w:val="18"/>
        </w:rPr>
        <w:t xml:space="preserve">, Petroperú publicó su lista de precios de venta de combustibles. </w:t>
      </w:r>
      <w:r w:rsidR="005B7181" w:rsidRPr="00684D32">
        <w:rPr>
          <w:rFonts w:ascii="Poppins" w:hAnsi="Poppins" w:cs="Poppins"/>
          <w:sz w:val="18"/>
          <w:szCs w:val="18"/>
        </w:rPr>
        <w:t>En dicha lista se</w:t>
      </w:r>
      <w:r w:rsidRPr="00684D32">
        <w:rPr>
          <w:rFonts w:ascii="Poppins" w:hAnsi="Poppins" w:cs="Poppins"/>
          <w:sz w:val="18"/>
          <w:szCs w:val="18"/>
        </w:rPr>
        <w:t xml:space="preserve"> registraron variaciones en los precios </w:t>
      </w:r>
      <w:r w:rsidR="009076DF">
        <w:rPr>
          <w:rFonts w:ascii="Poppins" w:hAnsi="Poppins" w:cs="Poppins"/>
          <w:sz w:val="18"/>
          <w:szCs w:val="18"/>
        </w:rPr>
        <w:t>de</w:t>
      </w:r>
      <w:r w:rsidR="00BC45B5">
        <w:rPr>
          <w:rFonts w:ascii="Poppins" w:hAnsi="Poppins" w:cs="Poppins"/>
          <w:sz w:val="18"/>
          <w:szCs w:val="18"/>
        </w:rPr>
        <w:t xml:space="preserve"> </w:t>
      </w:r>
      <w:r w:rsidR="009076DF">
        <w:rPr>
          <w:rFonts w:ascii="Poppins" w:hAnsi="Poppins" w:cs="Poppins"/>
          <w:sz w:val="18"/>
          <w:szCs w:val="18"/>
        </w:rPr>
        <w:t>l</w:t>
      </w:r>
      <w:r w:rsidR="00BC45B5">
        <w:rPr>
          <w:rFonts w:ascii="Poppins" w:hAnsi="Poppins" w:cs="Poppins"/>
          <w:sz w:val="18"/>
          <w:szCs w:val="18"/>
        </w:rPr>
        <w:t>a</w:t>
      </w:r>
      <w:r w:rsidR="00756CA3">
        <w:rPr>
          <w:rFonts w:ascii="Poppins" w:hAnsi="Poppins" w:cs="Poppins"/>
          <w:sz w:val="18"/>
          <w:szCs w:val="18"/>
          <w:lang w:val="es-PE"/>
        </w:rPr>
        <w:t xml:space="preserve"> </w:t>
      </w:r>
      <w:r w:rsidR="00756CA3" w:rsidRPr="00684D32">
        <w:rPr>
          <w:rFonts w:ascii="Poppins" w:hAnsi="Poppins" w:cs="Poppins"/>
          <w:sz w:val="18"/>
          <w:szCs w:val="18"/>
          <w:lang w:val="es-PE"/>
        </w:rPr>
        <w:t>Gaso</w:t>
      </w:r>
      <w:r w:rsidR="00756CA3">
        <w:rPr>
          <w:rFonts w:ascii="Poppins" w:hAnsi="Poppins" w:cs="Poppins"/>
          <w:sz w:val="18"/>
          <w:szCs w:val="18"/>
          <w:lang w:val="es-PE"/>
        </w:rPr>
        <w:t>lina</w:t>
      </w:r>
      <w:r w:rsidR="00756CA3" w:rsidRPr="00684D32">
        <w:rPr>
          <w:rFonts w:ascii="Poppins" w:hAnsi="Poppins" w:cs="Poppins"/>
          <w:sz w:val="18"/>
          <w:szCs w:val="18"/>
          <w:lang w:val="es-PE"/>
        </w:rPr>
        <w:t xml:space="preserve"> Premium (</w:t>
      </w:r>
      <w:r w:rsidR="00756CA3">
        <w:rPr>
          <w:rFonts w:ascii="Poppins" w:hAnsi="Poppins" w:cs="Poppins"/>
          <w:sz w:val="18"/>
          <w:szCs w:val="18"/>
          <w:lang w:val="es-PE"/>
        </w:rPr>
        <w:t>+</w:t>
      </w:r>
      <w:r w:rsidR="00756CA3" w:rsidRPr="00684D32">
        <w:rPr>
          <w:rFonts w:ascii="Poppins" w:hAnsi="Poppins" w:cs="Poppins"/>
          <w:sz w:val="18"/>
          <w:szCs w:val="18"/>
          <w:lang w:val="es-PE"/>
        </w:rPr>
        <w:t>0,</w:t>
      </w:r>
      <w:r w:rsidR="00BC45B5">
        <w:rPr>
          <w:rFonts w:ascii="Poppins" w:hAnsi="Poppins" w:cs="Poppins"/>
          <w:sz w:val="18"/>
          <w:szCs w:val="18"/>
          <w:lang w:val="es-PE"/>
        </w:rPr>
        <w:t>27</w:t>
      </w:r>
      <w:r w:rsidR="00756CA3" w:rsidRPr="00684D32">
        <w:rPr>
          <w:rFonts w:ascii="Poppins" w:hAnsi="Poppins" w:cs="Poppins"/>
          <w:sz w:val="18"/>
          <w:szCs w:val="18"/>
          <w:lang w:val="es-PE"/>
        </w:rPr>
        <w:t xml:space="preserve"> S/Gln), </w:t>
      </w:r>
      <w:r w:rsidR="00756CA3" w:rsidRPr="00684D32">
        <w:rPr>
          <w:rFonts w:ascii="Poppins" w:hAnsi="Poppins" w:cs="Poppins"/>
          <w:sz w:val="18"/>
          <w:szCs w:val="18"/>
        </w:rPr>
        <w:t>Gaso</w:t>
      </w:r>
      <w:r w:rsidR="00756CA3">
        <w:rPr>
          <w:rFonts w:ascii="Poppins" w:hAnsi="Poppins" w:cs="Poppins"/>
          <w:sz w:val="18"/>
          <w:szCs w:val="18"/>
        </w:rPr>
        <w:t>lina</w:t>
      </w:r>
      <w:r w:rsidR="00756CA3" w:rsidRPr="00684D32">
        <w:rPr>
          <w:rFonts w:ascii="Poppins" w:hAnsi="Poppins" w:cs="Poppins"/>
          <w:sz w:val="18"/>
          <w:szCs w:val="18"/>
        </w:rPr>
        <w:t xml:space="preserve"> Regular (</w:t>
      </w:r>
      <w:r w:rsidR="00756CA3">
        <w:rPr>
          <w:rFonts w:ascii="Poppins" w:hAnsi="Poppins" w:cs="Poppins"/>
          <w:sz w:val="18"/>
          <w:szCs w:val="18"/>
        </w:rPr>
        <w:t>+0</w:t>
      </w:r>
      <w:r w:rsidR="00756CA3" w:rsidRPr="00684D32">
        <w:rPr>
          <w:rFonts w:ascii="Poppins" w:hAnsi="Poppins" w:cs="Poppins"/>
          <w:sz w:val="18"/>
          <w:szCs w:val="18"/>
        </w:rPr>
        <w:t>,</w:t>
      </w:r>
      <w:r w:rsidR="00BC45B5">
        <w:rPr>
          <w:rFonts w:ascii="Poppins" w:hAnsi="Poppins" w:cs="Poppins"/>
          <w:sz w:val="18"/>
          <w:szCs w:val="18"/>
        </w:rPr>
        <w:t>25</w:t>
      </w:r>
      <w:r w:rsidR="00756CA3" w:rsidRPr="00684D32">
        <w:rPr>
          <w:rFonts w:ascii="Poppins" w:hAnsi="Poppins" w:cs="Poppins"/>
          <w:sz w:val="18"/>
          <w:szCs w:val="18"/>
        </w:rPr>
        <w:t xml:space="preserve"> S/Gln)</w:t>
      </w:r>
      <w:r w:rsidR="00756CA3">
        <w:rPr>
          <w:rFonts w:ascii="Poppins" w:hAnsi="Poppins" w:cs="Poppins"/>
          <w:sz w:val="18"/>
          <w:szCs w:val="18"/>
        </w:rPr>
        <w:t>, G</w:t>
      </w:r>
      <w:r w:rsidR="00335BF6" w:rsidRPr="00684D32">
        <w:rPr>
          <w:rFonts w:ascii="Poppins" w:hAnsi="Poppins" w:cs="Poppins"/>
          <w:sz w:val="18"/>
          <w:szCs w:val="18"/>
          <w:lang w:val="es-PE"/>
        </w:rPr>
        <w:t>aso</w:t>
      </w:r>
      <w:r w:rsidR="00756CA3">
        <w:rPr>
          <w:rFonts w:ascii="Poppins" w:hAnsi="Poppins" w:cs="Poppins"/>
          <w:sz w:val="18"/>
          <w:szCs w:val="18"/>
          <w:lang w:val="es-PE"/>
        </w:rPr>
        <w:t>hol</w:t>
      </w:r>
      <w:r w:rsidR="00335BF6" w:rsidRPr="00684D32">
        <w:rPr>
          <w:rFonts w:ascii="Poppins" w:hAnsi="Poppins" w:cs="Poppins"/>
          <w:sz w:val="18"/>
          <w:szCs w:val="18"/>
          <w:lang w:val="es-PE"/>
        </w:rPr>
        <w:t xml:space="preserve"> Premium (</w:t>
      </w:r>
      <w:r w:rsidR="00784CB3">
        <w:rPr>
          <w:rFonts w:ascii="Poppins" w:hAnsi="Poppins" w:cs="Poppins"/>
          <w:sz w:val="18"/>
          <w:szCs w:val="18"/>
          <w:lang w:val="es-PE"/>
        </w:rPr>
        <w:t>+</w:t>
      </w:r>
      <w:r w:rsidR="006E046A" w:rsidRPr="00684D32">
        <w:rPr>
          <w:rFonts w:ascii="Poppins" w:hAnsi="Poppins" w:cs="Poppins"/>
          <w:sz w:val="18"/>
          <w:szCs w:val="18"/>
          <w:lang w:val="es-PE"/>
        </w:rPr>
        <w:t>0</w:t>
      </w:r>
      <w:r w:rsidR="00335BF6" w:rsidRPr="00684D32">
        <w:rPr>
          <w:rFonts w:ascii="Poppins" w:hAnsi="Poppins" w:cs="Poppins"/>
          <w:sz w:val="18"/>
          <w:szCs w:val="18"/>
          <w:lang w:val="es-PE"/>
        </w:rPr>
        <w:t>,</w:t>
      </w:r>
      <w:r w:rsidR="008A0BD1">
        <w:rPr>
          <w:rFonts w:ascii="Poppins" w:hAnsi="Poppins" w:cs="Poppins"/>
          <w:sz w:val="18"/>
          <w:szCs w:val="18"/>
          <w:lang w:val="es-PE"/>
        </w:rPr>
        <w:t>2</w:t>
      </w:r>
      <w:r w:rsidR="00BC45B5">
        <w:rPr>
          <w:rFonts w:ascii="Poppins" w:hAnsi="Poppins" w:cs="Poppins"/>
          <w:sz w:val="18"/>
          <w:szCs w:val="18"/>
          <w:lang w:val="es-PE"/>
        </w:rPr>
        <w:t>5</w:t>
      </w:r>
      <w:r w:rsidR="00335BF6" w:rsidRPr="00684D32">
        <w:rPr>
          <w:rFonts w:ascii="Poppins" w:hAnsi="Poppins" w:cs="Poppins"/>
          <w:sz w:val="18"/>
          <w:szCs w:val="18"/>
          <w:lang w:val="es-PE"/>
        </w:rPr>
        <w:t xml:space="preserve"> S/Gln)</w:t>
      </w:r>
      <w:r w:rsidR="00465772" w:rsidRPr="00684D32">
        <w:rPr>
          <w:rFonts w:ascii="Poppins" w:hAnsi="Poppins" w:cs="Poppins"/>
          <w:sz w:val="18"/>
          <w:szCs w:val="18"/>
          <w:lang w:val="es-PE"/>
        </w:rPr>
        <w:t xml:space="preserve">, </w:t>
      </w:r>
      <w:r w:rsidR="00465772" w:rsidRPr="00684D32">
        <w:rPr>
          <w:rFonts w:ascii="Poppins" w:hAnsi="Poppins" w:cs="Poppins"/>
          <w:sz w:val="18"/>
          <w:szCs w:val="18"/>
        </w:rPr>
        <w:t>Gasohol Regular (</w:t>
      </w:r>
      <w:r w:rsidR="00784CB3">
        <w:rPr>
          <w:rFonts w:ascii="Poppins" w:hAnsi="Poppins" w:cs="Poppins"/>
          <w:sz w:val="18"/>
          <w:szCs w:val="18"/>
        </w:rPr>
        <w:t>+</w:t>
      </w:r>
      <w:r w:rsidR="00267898">
        <w:rPr>
          <w:rFonts w:ascii="Poppins" w:hAnsi="Poppins" w:cs="Poppins"/>
          <w:sz w:val="18"/>
          <w:szCs w:val="18"/>
        </w:rPr>
        <w:t>0</w:t>
      </w:r>
      <w:r w:rsidR="00465772" w:rsidRPr="00684D32">
        <w:rPr>
          <w:rFonts w:ascii="Poppins" w:hAnsi="Poppins" w:cs="Poppins"/>
          <w:sz w:val="18"/>
          <w:szCs w:val="18"/>
        </w:rPr>
        <w:t>,</w:t>
      </w:r>
      <w:r w:rsidR="00BC45B5">
        <w:rPr>
          <w:rFonts w:ascii="Poppins" w:hAnsi="Poppins" w:cs="Poppins"/>
          <w:sz w:val="18"/>
          <w:szCs w:val="18"/>
        </w:rPr>
        <w:t>22</w:t>
      </w:r>
      <w:r w:rsidR="00465772" w:rsidRPr="00684D32">
        <w:rPr>
          <w:rFonts w:ascii="Poppins" w:hAnsi="Poppins" w:cs="Poppins"/>
          <w:sz w:val="18"/>
          <w:szCs w:val="18"/>
        </w:rPr>
        <w:t xml:space="preserve"> S/Gln)</w:t>
      </w:r>
      <w:r w:rsidR="00BC45B5">
        <w:rPr>
          <w:rFonts w:ascii="Poppins" w:hAnsi="Poppins" w:cs="Poppins"/>
          <w:sz w:val="18"/>
          <w:szCs w:val="18"/>
        </w:rPr>
        <w:t>,</w:t>
      </w:r>
      <w:r w:rsidR="00BC45B5" w:rsidRPr="00684D32">
        <w:rPr>
          <w:rFonts w:ascii="Poppins" w:hAnsi="Poppins" w:cs="Poppins"/>
          <w:sz w:val="18"/>
          <w:szCs w:val="18"/>
        </w:rPr>
        <w:t xml:space="preserve"> </w:t>
      </w:r>
      <w:r w:rsidR="00BC45B5">
        <w:rPr>
          <w:rFonts w:ascii="Poppins" w:hAnsi="Poppins" w:cs="Poppins"/>
          <w:sz w:val="18"/>
          <w:szCs w:val="18"/>
        </w:rPr>
        <w:t xml:space="preserve">Diésel B5 UV S-50 </w:t>
      </w:r>
      <w:r w:rsidR="00BC45B5" w:rsidRPr="00684D32">
        <w:rPr>
          <w:rFonts w:ascii="Poppins" w:hAnsi="Poppins" w:cs="Poppins"/>
          <w:sz w:val="18"/>
          <w:szCs w:val="18"/>
        </w:rPr>
        <w:t>(</w:t>
      </w:r>
      <w:r w:rsidR="00BC45B5">
        <w:rPr>
          <w:rFonts w:ascii="Poppins" w:hAnsi="Poppins" w:cs="Poppins"/>
          <w:sz w:val="18"/>
          <w:szCs w:val="18"/>
        </w:rPr>
        <w:t>+</w:t>
      </w:r>
      <w:r w:rsidR="00BC45B5" w:rsidRPr="00684D32">
        <w:rPr>
          <w:rFonts w:ascii="Poppins" w:hAnsi="Poppins" w:cs="Poppins"/>
          <w:sz w:val="18"/>
          <w:szCs w:val="18"/>
        </w:rPr>
        <w:t>0,</w:t>
      </w:r>
      <w:r w:rsidR="00BC45B5">
        <w:rPr>
          <w:rFonts w:ascii="Poppins" w:hAnsi="Poppins" w:cs="Poppins"/>
          <w:sz w:val="18"/>
          <w:szCs w:val="18"/>
        </w:rPr>
        <w:t>29</w:t>
      </w:r>
      <w:r w:rsidR="00BC45B5" w:rsidRPr="00684D32">
        <w:rPr>
          <w:rFonts w:ascii="Poppins" w:hAnsi="Poppins" w:cs="Poppins"/>
          <w:sz w:val="18"/>
          <w:szCs w:val="18"/>
        </w:rPr>
        <w:t xml:space="preserve"> S/Gln)</w:t>
      </w:r>
      <w:r w:rsidR="00BC45B5">
        <w:rPr>
          <w:rFonts w:ascii="Poppins" w:hAnsi="Poppins" w:cs="Poppins"/>
          <w:sz w:val="18"/>
          <w:szCs w:val="18"/>
        </w:rPr>
        <w:t xml:space="preserve"> </w:t>
      </w:r>
      <w:r w:rsidR="00FA0FB0">
        <w:rPr>
          <w:rFonts w:ascii="Poppins" w:hAnsi="Poppins" w:cs="Poppins"/>
          <w:sz w:val="18"/>
          <w:szCs w:val="18"/>
        </w:rPr>
        <w:t>y</w:t>
      </w:r>
      <w:r w:rsidR="006C4CA1" w:rsidRPr="00684D32">
        <w:rPr>
          <w:rFonts w:ascii="Poppins" w:hAnsi="Poppins" w:cs="Poppins"/>
          <w:sz w:val="18"/>
          <w:szCs w:val="18"/>
        </w:rPr>
        <w:t xml:space="preserve"> </w:t>
      </w:r>
      <w:r w:rsidR="00E621C9">
        <w:rPr>
          <w:rFonts w:ascii="Poppins" w:hAnsi="Poppins" w:cs="Poppins"/>
          <w:sz w:val="18"/>
          <w:szCs w:val="18"/>
        </w:rPr>
        <w:t xml:space="preserve">Diésel B5 S-50 </w:t>
      </w:r>
      <w:r w:rsidR="00E621C9" w:rsidRPr="00684D32">
        <w:rPr>
          <w:rFonts w:ascii="Poppins" w:hAnsi="Poppins" w:cs="Poppins"/>
          <w:sz w:val="18"/>
          <w:szCs w:val="18"/>
        </w:rPr>
        <w:t>(</w:t>
      </w:r>
      <w:r w:rsidR="00FA0FB0">
        <w:rPr>
          <w:rFonts w:ascii="Poppins" w:hAnsi="Poppins" w:cs="Poppins"/>
          <w:sz w:val="18"/>
          <w:szCs w:val="18"/>
        </w:rPr>
        <w:t>+</w:t>
      </w:r>
      <w:r w:rsidR="00E621C9" w:rsidRPr="00684D32">
        <w:rPr>
          <w:rFonts w:ascii="Poppins" w:hAnsi="Poppins" w:cs="Poppins"/>
          <w:sz w:val="18"/>
          <w:szCs w:val="18"/>
        </w:rPr>
        <w:t>0,</w:t>
      </w:r>
      <w:r w:rsidR="00BC45B5">
        <w:rPr>
          <w:rFonts w:ascii="Poppins" w:hAnsi="Poppins" w:cs="Poppins"/>
          <w:sz w:val="18"/>
          <w:szCs w:val="18"/>
        </w:rPr>
        <w:t>2</w:t>
      </w:r>
      <w:r w:rsidR="00756CA3">
        <w:rPr>
          <w:rFonts w:ascii="Poppins" w:hAnsi="Poppins" w:cs="Poppins"/>
          <w:sz w:val="18"/>
          <w:szCs w:val="18"/>
        </w:rPr>
        <w:t>9</w:t>
      </w:r>
      <w:r w:rsidR="00E621C9" w:rsidRPr="00684D32">
        <w:rPr>
          <w:rFonts w:ascii="Poppins" w:hAnsi="Poppins" w:cs="Poppins"/>
          <w:sz w:val="18"/>
          <w:szCs w:val="18"/>
        </w:rPr>
        <w:t xml:space="preserve"> S/Gln)</w:t>
      </w:r>
      <w:r w:rsidR="00E621C9">
        <w:rPr>
          <w:rFonts w:ascii="Poppins" w:hAnsi="Poppins" w:cs="Poppins"/>
          <w:sz w:val="18"/>
          <w:szCs w:val="18"/>
        </w:rPr>
        <w:t xml:space="preserve"> </w:t>
      </w:r>
      <w:r w:rsidR="00432D6B" w:rsidRPr="00684D32">
        <w:rPr>
          <w:rFonts w:ascii="Poppins" w:hAnsi="Poppins" w:cs="Poppins"/>
          <w:sz w:val="18"/>
          <w:szCs w:val="18"/>
          <w:lang w:val="es-PE"/>
        </w:rPr>
        <w:t>respecto de sus precios de la semana anterior.</w:t>
      </w:r>
    </w:p>
    <w:p w14:paraId="4F927923" w14:textId="77777777" w:rsidR="00C87735" w:rsidRDefault="00C87735"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3AB8F92"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8A0BD1">
        <w:rPr>
          <w:rFonts w:ascii="Poppins" w:hAnsi="Poppins" w:cs="Poppins"/>
          <w:sz w:val="18"/>
          <w:szCs w:val="18"/>
        </w:rPr>
        <w:t>2</w:t>
      </w:r>
      <w:r w:rsidR="00BC45B5">
        <w:rPr>
          <w:rFonts w:ascii="Poppins" w:hAnsi="Poppins" w:cs="Poppins"/>
          <w:sz w:val="18"/>
          <w:szCs w:val="18"/>
        </w:rPr>
        <w:t>7</w:t>
      </w:r>
      <w:r w:rsidR="00336251" w:rsidRPr="0096213B">
        <w:rPr>
          <w:rFonts w:ascii="Poppins" w:hAnsi="Poppins" w:cs="Poppins"/>
          <w:sz w:val="18"/>
          <w:szCs w:val="18"/>
        </w:rPr>
        <w:t>/</w:t>
      </w:r>
      <w:r w:rsidR="000C00CF">
        <w:rPr>
          <w:rFonts w:ascii="Poppins" w:hAnsi="Poppins" w:cs="Poppins"/>
          <w:sz w:val="18"/>
          <w:szCs w:val="18"/>
        </w:rPr>
        <w:t>1</w:t>
      </w:r>
      <w:r w:rsidR="000F0295">
        <w:rPr>
          <w:rFonts w:ascii="Poppins" w:hAnsi="Poppins" w:cs="Poppins"/>
          <w:sz w:val="18"/>
          <w:szCs w:val="18"/>
        </w:rPr>
        <w:t>0</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BC45B5">
        <w:rPr>
          <w:rFonts w:ascii="Poppins" w:hAnsi="Poppins" w:cs="Poppins"/>
          <w:sz w:val="18"/>
          <w:szCs w:val="18"/>
        </w:rPr>
        <w:t>07</w:t>
      </w:r>
      <w:r w:rsidR="00336251" w:rsidRPr="0096213B">
        <w:rPr>
          <w:rFonts w:ascii="Poppins" w:hAnsi="Poppins" w:cs="Poppins"/>
          <w:sz w:val="18"/>
          <w:szCs w:val="18"/>
        </w:rPr>
        <w:t>/</w:t>
      </w:r>
      <w:r w:rsidR="00EA6962">
        <w:rPr>
          <w:rFonts w:ascii="Poppins" w:hAnsi="Poppins" w:cs="Poppins"/>
          <w:sz w:val="18"/>
          <w:szCs w:val="18"/>
        </w:rPr>
        <w:t>1</w:t>
      </w:r>
      <w:r w:rsidR="00BC45B5">
        <w:rPr>
          <w:rFonts w:ascii="Poppins" w:hAnsi="Poppins" w:cs="Poppins"/>
          <w:sz w:val="18"/>
          <w:szCs w:val="18"/>
        </w:rPr>
        <w:t>1</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21E1723"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BC45B5">
        <w:rPr>
          <w:rFonts w:ascii="Poppins" w:hAnsi="Poppins" w:cs="Poppins"/>
          <w:b/>
          <w:bCs/>
          <w:i/>
          <w:sz w:val="18"/>
          <w:szCs w:val="18"/>
          <w:lang w:eastAsia="es-PE"/>
        </w:rPr>
        <w:t>10</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EA6962">
        <w:rPr>
          <w:rFonts w:ascii="Poppins" w:hAnsi="Poppins" w:cs="Poppins"/>
          <w:b/>
          <w:bCs/>
          <w:i/>
          <w:sz w:val="18"/>
          <w:szCs w:val="18"/>
          <w:lang w:eastAsia="es-PE"/>
        </w:rPr>
        <w:t>1</w:t>
      </w:r>
      <w:r w:rsidR="008A0BD1">
        <w:rPr>
          <w:rFonts w:ascii="Poppins" w:hAnsi="Poppins" w:cs="Poppins"/>
          <w:b/>
          <w:bCs/>
          <w:i/>
          <w:sz w:val="18"/>
          <w:szCs w:val="18"/>
          <w:lang w:eastAsia="es-PE"/>
        </w:rPr>
        <w:t>1</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5438F648" w:rsidR="00A86191" w:rsidRPr="0096213B" w:rsidRDefault="00BC45B5"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544811B4" wp14:editId="6BDC2C65">
            <wp:extent cx="5438775" cy="3284855"/>
            <wp:effectExtent l="0" t="0" r="952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44890" cy="3288548"/>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9E05211"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7969AB">
        <w:rPr>
          <w:rFonts w:ascii="Poppins" w:hAnsi="Poppins" w:cs="Poppins"/>
          <w:sz w:val="18"/>
          <w:szCs w:val="18"/>
        </w:rPr>
        <w:t>2</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7878B1">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C30EC5">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70A0E">
        <w:rPr>
          <w:rFonts w:ascii="Poppins" w:hAnsi="Poppins" w:cs="Poppins"/>
          <w:sz w:val="18"/>
          <w:szCs w:val="18"/>
        </w:rPr>
        <w:t>8</w:t>
      </w:r>
      <w:r w:rsidR="007969AB">
        <w:rPr>
          <w:rFonts w:ascii="Poppins" w:hAnsi="Poppins" w:cs="Poppins"/>
          <w:sz w:val="18"/>
          <w:szCs w:val="18"/>
        </w:rPr>
        <w:t>4</w:t>
      </w:r>
      <w:r w:rsidR="00E70A0E">
        <w:rPr>
          <w:rFonts w:ascii="Poppins" w:hAnsi="Poppins" w:cs="Poppins"/>
          <w:sz w:val="18"/>
          <w:szCs w:val="18"/>
        </w:rPr>
        <w:t>%</w:t>
      </w:r>
      <w:r w:rsidR="00DD7010">
        <w:rPr>
          <w:rFonts w:ascii="Poppins" w:hAnsi="Poppins" w:cs="Poppins"/>
          <w:sz w:val="18"/>
          <w:szCs w:val="18"/>
        </w:rPr>
        <w:t xml:space="preserve"> y 8</w:t>
      </w:r>
      <w:r w:rsidR="007969AB">
        <w:rPr>
          <w:rFonts w:ascii="Poppins" w:hAnsi="Poppins" w:cs="Poppins"/>
          <w:sz w:val="18"/>
          <w:szCs w:val="18"/>
        </w:rPr>
        <w:t>3</w:t>
      </w:r>
      <w:r w:rsidR="00DD7010">
        <w:rPr>
          <w:rFonts w:ascii="Poppins" w:hAnsi="Poppins" w:cs="Poppins"/>
          <w:sz w:val="18"/>
          <w:szCs w:val="18"/>
        </w:rPr>
        <w:t>%</w:t>
      </w:r>
      <w:r w:rsidR="00E70A0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7878B1">
        <w:rPr>
          <w:rFonts w:ascii="Poppins" w:hAnsi="Poppins" w:cs="Poppins"/>
          <w:sz w:val="18"/>
          <w:szCs w:val="18"/>
        </w:rPr>
        <w:t>4</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45C10114"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BC45B5">
        <w:rPr>
          <w:rFonts w:ascii="Poppins" w:hAnsi="Poppins" w:cs="Poppins"/>
          <w:sz w:val="18"/>
          <w:szCs w:val="18"/>
        </w:rPr>
        <w:t>10</w:t>
      </w:r>
      <w:r w:rsidR="00F07057">
        <w:rPr>
          <w:rFonts w:ascii="Poppins" w:hAnsi="Poppins" w:cs="Poppins"/>
          <w:sz w:val="18"/>
          <w:szCs w:val="18"/>
        </w:rPr>
        <w:t xml:space="preserve"> </w:t>
      </w:r>
      <w:r w:rsidRPr="0096213B">
        <w:rPr>
          <w:rFonts w:ascii="Poppins" w:hAnsi="Poppins" w:cs="Poppins"/>
          <w:sz w:val="18"/>
          <w:szCs w:val="18"/>
        </w:rPr>
        <w:t xml:space="preserve">de </w:t>
      </w:r>
      <w:r w:rsidR="00993309">
        <w:rPr>
          <w:rFonts w:ascii="Poppins" w:hAnsi="Poppins" w:cs="Poppins"/>
          <w:sz w:val="18"/>
          <w:szCs w:val="18"/>
        </w:rPr>
        <w:t>noviem</w:t>
      </w:r>
      <w:r w:rsidR="00C72C7F">
        <w:rPr>
          <w:rFonts w:ascii="Poppins" w:hAnsi="Poppins" w:cs="Poppins"/>
          <w:sz w:val="18"/>
          <w:szCs w:val="18"/>
        </w:rPr>
        <w:t>bre</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79DA85F1"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993309">
        <w:rPr>
          <w:rFonts w:ascii="Poppins" w:hAnsi="Poppins" w:cs="Poppins"/>
          <w:sz w:val="18"/>
          <w:szCs w:val="18"/>
        </w:rPr>
        <w:t>4</w:t>
      </w:r>
      <w:r w:rsidR="00A33C99" w:rsidRPr="0096213B">
        <w:rPr>
          <w:rFonts w:ascii="Poppins" w:hAnsi="Poppins" w:cs="Poppins"/>
          <w:sz w:val="18"/>
          <w:szCs w:val="18"/>
        </w:rPr>
        <w:t>,</w:t>
      </w:r>
      <w:r w:rsidR="00672975">
        <w:rPr>
          <w:rFonts w:ascii="Poppins" w:hAnsi="Poppins" w:cs="Poppins"/>
          <w:sz w:val="18"/>
          <w:szCs w:val="18"/>
        </w:rPr>
        <w:t>11</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993309">
        <w:rPr>
          <w:rFonts w:ascii="Poppins" w:hAnsi="Poppins" w:cs="Poppins"/>
          <w:sz w:val="18"/>
          <w:szCs w:val="18"/>
        </w:rPr>
        <w:t>7</w:t>
      </w:r>
      <w:r w:rsidR="00672975">
        <w:rPr>
          <w:rFonts w:ascii="Poppins" w:hAnsi="Poppins" w:cs="Poppins"/>
          <w:sz w:val="18"/>
          <w:szCs w:val="18"/>
        </w:rPr>
        <w:t>3</w:t>
      </w:r>
      <w:r w:rsidR="00A33C99" w:rsidRPr="0096213B">
        <w:rPr>
          <w:rFonts w:ascii="Poppins" w:hAnsi="Poppins" w:cs="Poppins"/>
          <w:sz w:val="18"/>
          <w:szCs w:val="18"/>
        </w:rPr>
        <w:t xml:space="preserve"> US$/Bl.</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07F037AE"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10044E">
        <w:rPr>
          <w:rFonts w:ascii="Poppins" w:hAnsi="Poppins" w:cs="Poppins"/>
          <w:sz w:val="18"/>
          <w:szCs w:val="18"/>
        </w:rPr>
        <w:t>5</w:t>
      </w:r>
      <w:r w:rsidR="00E0028D">
        <w:rPr>
          <w:rFonts w:ascii="Poppins" w:hAnsi="Poppins" w:cs="Poppins"/>
          <w:sz w:val="18"/>
          <w:szCs w:val="18"/>
        </w:rPr>
        <w:t>,</w:t>
      </w:r>
      <w:r w:rsidR="0010044E">
        <w:rPr>
          <w:rFonts w:ascii="Poppins" w:hAnsi="Poppins" w:cs="Poppins"/>
          <w:sz w:val="18"/>
          <w:szCs w:val="18"/>
        </w:rPr>
        <w:t>98</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3EE7ECF9"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10044E">
        <w:rPr>
          <w:rFonts w:ascii="Poppins" w:hAnsi="Poppins" w:cs="Poppins"/>
          <w:sz w:val="18"/>
          <w:szCs w:val="18"/>
        </w:rPr>
        <w:t>2</w:t>
      </w:r>
      <w:r w:rsidR="00336251" w:rsidRPr="0096213B">
        <w:rPr>
          <w:rFonts w:ascii="Poppins" w:hAnsi="Poppins" w:cs="Poppins"/>
          <w:sz w:val="18"/>
          <w:szCs w:val="18"/>
        </w:rPr>
        <w:t>,</w:t>
      </w:r>
      <w:r w:rsidR="0010044E">
        <w:rPr>
          <w:rFonts w:ascii="Poppins" w:hAnsi="Poppins" w:cs="Poppins"/>
          <w:sz w:val="18"/>
          <w:szCs w:val="18"/>
        </w:rPr>
        <w:t>01</w:t>
      </w:r>
      <w:r w:rsidRPr="0096213B">
        <w:rPr>
          <w:rFonts w:ascii="Poppins" w:hAnsi="Poppins" w:cs="Poppins"/>
          <w:sz w:val="18"/>
          <w:szCs w:val="18"/>
        </w:rPr>
        <w:t xml:space="preserve"> US$/Bl para la Gasolina Premium y un ajuste de </w:t>
      </w:r>
      <w:r w:rsidR="007878B1">
        <w:rPr>
          <w:rFonts w:ascii="Poppins" w:hAnsi="Poppins" w:cs="Poppins"/>
          <w:sz w:val="18"/>
          <w:szCs w:val="18"/>
        </w:rPr>
        <w:t>1</w:t>
      </w:r>
      <w:r w:rsidR="00513E2B" w:rsidRPr="0096213B">
        <w:rPr>
          <w:rFonts w:ascii="Poppins" w:hAnsi="Poppins" w:cs="Poppins"/>
          <w:sz w:val="18"/>
          <w:szCs w:val="18"/>
        </w:rPr>
        <w:t>,</w:t>
      </w:r>
      <w:r w:rsidR="0010044E">
        <w:rPr>
          <w:rFonts w:ascii="Poppins" w:hAnsi="Poppins" w:cs="Poppins"/>
          <w:sz w:val="18"/>
          <w:szCs w:val="18"/>
        </w:rPr>
        <w:t>64</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1F4A0AD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993309">
        <w:rPr>
          <w:rFonts w:ascii="Poppins" w:hAnsi="Poppins" w:cs="Poppins"/>
          <w:sz w:val="18"/>
          <w:szCs w:val="18"/>
        </w:rPr>
        <w:t>1</w:t>
      </w:r>
      <w:r w:rsidR="0010044E">
        <w:rPr>
          <w:rFonts w:ascii="Poppins" w:hAnsi="Poppins" w:cs="Poppins"/>
          <w:sz w:val="18"/>
          <w:szCs w:val="18"/>
        </w:rPr>
        <w:t>8</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AA1E69">
        <w:rPr>
          <w:rFonts w:ascii="Poppins" w:hAnsi="Poppins" w:cs="Poppins"/>
          <w:sz w:val="18"/>
          <w:szCs w:val="18"/>
        </w:rPr>
        <w:t>6</w:t>
      </w:r>
      <w:r w:rsidR="00A33C99" w:rsidRPr="0096213B">
        <w:rPr>
          <w:rFonts w:ascii="Poppins" w:hAnsi="Poppins" w:cs="Poppins"/>
          <w:sz w:val="18"/>
          <w:szCs w:val="18"/>
        </w:rPr>
        <w:t>,</w:t>
      </w:r>
      <w:r w:rsidR="002930CB">
        <w:rPr>
          <w:rFonts w:ascii="Poppins" w:hAnsi="Poppins" w:cs="Poppins"/>
          <w:sz w:val="18"/>
          <w:szCs w:val="18"/>
        </w:rPr>
        <w:t>3</w:t>
      </w:r>
      <w:r w:rsidR="0010044E">
        <w:rPr>
          <w:rFonts w:ascii="Poppins" w:hAnsi="Poppins" w:cs="Poppins"/>
          <w:sz w:val="18"/>
          <w:szCs w:val="18"/>
        </w:rPr>
        <w:t>7</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9D00A07"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10044E">
        <w:rPr>
          <w:rFonts w:ascii="Poppins" w:hAnsi="Poppins" w:cs="Poppins"/>
          <w:sz w:val="18"/>
          <w:szCs w:val="18"/>
        </w:rPr>
        <w:t>5</w:t>
      </w:r>
      <w:r w:rsidRPr="0096213B">
        <w:rPr>
          <w:rFonts w:ascii="Poppins" w:hAnsi="Poppins" w:cs="Poppins"/>
          <w:sz w:val="18"/>
          <w:szCs w:val="18"/>
        </w:rPr>
        <w:t>,</w:t>
      </w:r>
      <w:r w:rsidR="0010044E">
        <w:rPr>
          <w:rFonts w:ascii="Poppins" w:hAnsi="Poppins" w:cs="Poppins"/>
          <w:sz w:val="18"/>
          <w:szCs w:val="18"/>
        </w:rPr>
        <w:t>98</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38363B9C"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10044E">
        <w:rPr>
          <w:rFonts w:ascii="Poppins" w:hAnsi="Poppins" w:cs="Poppins"/>
          <w:bCs/>
          <w:sz w:val="18"/>
          <w:szCs w:val="18"/>
        </w:rPr>
        <w:t>62</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26F8F423"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10044E">
        <w:rPr>
          <w:rFonts w:ascii="Poppins" w:hAnsi="Poppins" w:cs="Poppins"/>
          <w:sz w:val="18"/>
          <w:szCs w:val="18"/>
        </w:rPr>
        <w:t>87</w:t>
      </w:r>
      <w:r w:rsidR="0036509C" w:rsidRPr="0096213B">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44FACE8"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7C8A">
        <w:rPr>
          <w:rFonts w:ascii="Poppins" w:hAnsi="Poppins" w:cs="Poppins"/>
          <w:sz w:val="18"/>
          <w:szCs w:val="18"/>
          <w:lang w:eastAsia="en-US"/>
        </w:rPr>
        <w:t>2</w:t>
      </w:r>
      <w:r w:rsidR="009D076F">
        <w:rPr>
          <w:rFonts w:ascii="Poppins" w:hAnsi="Poppins" w:cs="Poppins"/>
          <w:sz w:val="18"/>
          <w:szCs w:val="18"/>
          <w:lang w:eastAsia="en-US"/>
        </w:rPr>
        <w:t>9</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10044E">
        <w:rPr>
          <w:rFonts w:ascii="Poppins" w:hAnsi="Poppins" w:cs="Poppins"/>
          <w:sz w:val="18"/>
          <w:szCs w:val="18"/>
          <w:lang w:eastAsia="en-US"/>
        </w:rPr>
        <w:t>26</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2930CB">
        <w:rPr>
          <w:rFonts w:ascii="Poppins" w:hAnsi="Poppins" w:cs="Poppins"/>
          <w:sz w:val="18"/>
          <w:szCs w:val="18"/>
          <w:lang w:eastAsia="en-US"/>
        </w:rPr>
        <w:t>2</w:t>
      </w:r>
      <w:r w:rsidR="0010044E">
        <w:rPr>
          <w:rFonts w:ascii="Poppins" w:hAnsi="Poppins" w:cs="Poppins"/>
          <w:sz w:val="18"/>
          <w:szCs w:val="18"/>
          <w:lang w:eastAsia="en-US"/>
        </w:rPr>
        <w:t>1</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US$/Bl),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57ACC2D1" w14:textId="6D1649C6" w:rsidR="004B70A6" w:rsidRDefault="004B70A6" w:rsidP="00352553">
            <w:pPr>
              <w:rPr>
                <w:rFonts w:ascii="Poppins" w:hAnsi="Poppins" w:cs="Poppins"/>
                <w:i/>
                <w:iCs/>
                <w:sz w:val="14"/>
                <w:szCs w:val="14"/>
                <w:lang w:val="es-MX" w:eastAsia="en-US"/>
              </w:rPr>
            </w:pPr>
          </w:p>
          <w:p w14:paraId="049DAEF4" w14:textId="6D45249C" w:rsidR="004C3679" w:rsidRDefault="0010044E" w:rsidP="00352553">
            <w:pPr>
              <w:rPr>
                <w:rFonts w:ascii="Poppins" w:hAnsi="Poppins" w:cs="Poppins"/>
                <w:i/>
                <w:iCs/>
                <w:sz w:val="14"/>
                <w:szCs w:val="14"/>
                <w:lang w:val="es-MX" w:eastAsia="en-US"/>
              </w:rPr>
            </w:pPr>
            <w:r w:rsidRPr="0010044E">
              <w:rPr>
                <w:rFonts w:ascii="Poppins" w:hAnsi="Poppins" w:cs="Poppins"/>
                <w:i/>
                <w:iCs/>
                <w:noProof/>
                <w:sz w:val="14"/>
                <w:szCs w:val="14"/>
                <w:lang w:val="es-MX" w:eastAsia="en-US"/>
              </w:rPr>
              <w:drawing>
                <wp:inline distT="0" distB="0" distL="0" distR="0" wp14:anchorId="4B43265A" wp14:editId="0C63D73E">
                  <wp:extent cx="8162925" cy="2924175"/>
                  <wp:effectExtent l="0" t="0" r="9525"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162925" cy="2924175"/>
                          </a:xfrm>
                          <a:prstGeom prst="rect">
                            <a:avLst/>
                          </a:prstGeom>
                          <a:noFill/>
                          <a:ln>
                            <a:noFill/>
                          </a:ln>
                        </pic:spPr>
                      </pic:pic>
                    </a:graphicData>
                  </a:graphic>
                </wp:inline>
              </w:drawing>
            </w:r>
            <w:r w:rsidR="006038F6" w:rsidRPr="006038F6">
              <w:rPr>
                <w:rFonts w:ascii="Poppins" w:hAnsi="Poppins" w:cs="Poppins"/>
                <w:i/>
                <w:iCs/>
                <w:sz w:val="14"/>
                <w:szCs w:val="14"/>
                <w:lang w:val="es-MX" w:eastAsia="en-US"/>
              </w:rPr>
              <w:t xml:space="preserve"> </w:t>
            </w:r>
          </w:p>
          <w:p w14:paraId="190501AE" w14:textId="78558A0B"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c</w:t>
            </w:r>
            <w:r w:rsidRPr="0096213B">
              <w:rPr>
                <w:rFonts w:ascii="Poppins" w:hAnsi="Poppins" w:cs="Poppins"/>
                <w:i/>
                <w:iCs/>
                <w:sz w:val="14"/>
                <w:szCs w:val="14"/>
                <w:lang w:val="es-MX" w:eastAsia="en-US"/>
              </w:rPr>
              <w:t xml:space="preserve">etano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 xml:space="preserve">37 US$/Bl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642365E4" w:rsidR="000F7442" w:rsidRPr="0096213B" w:rsidRDefault="00636387" w:rsidP="000F7442">
            <w:pPr>
              <w:jc w:val="center"/>
              <w:rPr>
                <w:rFonts w:ascii="Poppins" w:hAnsi="Poppins" w:cs="Poppins"/>
                <w:sz w:val="8"/>
                <w:szCs w:val="20"/>
              </w:rPr>
            </w:pPr>
            <w:r w:rsidRPr="00636387">
              <w:rPr>
                <w:rFonts w:ascii="Poppins" w:hAnsi="Poppins" w:cs="Poppins"/>
                <w:noProof/>
                <w:sz w:val="8"/>
                <w:szCs w:val="20"/>
              </w:rPr>
              <w:drawing>
                <wp:inline distT="0" distB="0" distL="0" distR="0" wp14:anchorId="047CD691" wp14:editId="2DC79EEA">
                  <wp:extent cx="3562350" cy="305752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305752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1F73117A" w:rsidR="00EF3BE9" w:rsidRPr="0096213B" w:rsidRDefault="00274A4A"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5ADC75BB" wp14:editId="65733BA2">
                  <wp:extent cx="5332095" cy="2752725"/>
                  <wp:effectExtent l="0" t="0" r="190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66576" cy="2770526"/>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056C08B5" w:rsidR="00551F16" w:rsidRPr="0096213B" w:rsidRDefault="00274A4A"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274A4A">
        <w:rPr>
          <w:noProof/>
        </w:rPr>
        <w:drawing>
          <wp:inline distT="0" distB="0" distL="0" distR="0" wp14:anchorId="032A5E94" wp14:editId="7124DCD4">
            <wp:extent cx="5659755" cy="251904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59755" cy="251904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2540E559" w:rsidR="00F70B88" w:rsidRDefault="00C05538" w:rsidP="00604758">
      <w:pPr>
        <w:spacing w:line="0" w:lineRule="atLeast"/>
        <w:ind w:right="-567"/>
        <w:jc w:val="both"/>
        <w:rPr>
          <w:rFonts w:ascii="Poppins" w:hAnsi="Poppins" w:cs="Poppins"/>
          <w:noProof/>
          <w:sz w:val="20"/>
          <w:szCs w:val="20"/>
        </w:rPr>
      </w:pPr>
      <w:r w:rsidRPr="00C05538">
        <w:rPr>
          <w:noProof/>
        </w:rPr>
        <w:drawing>
          <wp:inline distT="0" distB="0" distL="0" distR="0" wp14:anchorId="48BE40EE" wp14:editId="63F2A8C1">
            <wp:extent cx="5850255" cy="235267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2352675"/>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318438B1" w:rsidR="00127A54" w:rsidRPr="0096213B" w:rsidRDefault="00C05538" w:rsidP="006220EA">
      <w:pPr>
        <w:rPr>
          <w:rFonts w:ascii="Poppins" w:hAnsi="Poppins" w:cs="Poppins"/>
          <w:i/>
          <w:sz w:val="14"/>
          <w:szCs w:val="14"/>
        </w:rPr>
      </w:pPr>
      <w:r w:rsidRPr="00C05538">
        <w:rPr>
          <w:noProof/>
        </w:rPr>
        <w:drawing>
          <wp:inline distT="0" distB="0" distL="0" distR="0" wp14:anchorId="65A1FA5B" wp14:editId="0D7347DF">
            <wp:extent cx="5850255" cy="7343775"/>
            <wp:effectExtent l="0" t="0" r="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34377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29231BBF" w:rsidR="005048C1" w:rsidRPr="0096213B" w:rsidRDefault="00F91202" w:rsidP="005048C1">
      <w:pPr>
        <w:jc w:val="both"/>
        <w:rPr>
          <w:rFonts w:ascii="Poppins" w:hAnsi="Poppins" w:cs="Poppins"/>
          <w:i/>
          <w:iCs/>
          <w:sz w:val="12"/>
          <w:szCs w:val="12"/>
        </w:rPr>
      </w:pPr>
      <w:r>
        <w:t xml:space="preserve">                       </w:t>
      </w:r>
      <w:r w:rsidR="001E74D9" w:rsidRPr="001E74D9">
        <w:drawing>
          <wp:inline distT="0" distB="0" distL="0" distR="0" wp14:anchorId="3671D8E5" wp14:editId="05CBD77D">
            <wp:extent cx="5850255" cy="63055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861" cy="6306203"/>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410734CC" w:rsidR="00812956" w:rsidRDefault="00300FA6" w:rsidP="00842A58">
      <w:pPr>
        <w:pStyle w:val="xl37"/>
        <w:tabs>
          <w:tab w:val="left" w:pos="180"/>
        </w:tabs>
        <w:spacing w:before="0" w:beforeAutospacing="0" w:after="0" w:afterAutospacing="0"/>
        <w:jc w:val="center"/>
        <w:rPr>
          <w:noProof/>
        </w:rPr>
      </w:pPr>
      <w:r>
        <w:rPr>
          <w:noProof/>
        </w:rPr>
        <w:drawing>
          <wp:inline distT="0" distB="0" distL="0" distR="0" wp14:anchorId="571C76BD" wp14:editId="6D35C9D8">
            <wp:extent cx="5934075" cy="3169242"/>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4222" cy="3174661"/>
                    </a:xfrm>
                    <a:prstGeom prst="rect">
                      <a:avLst/>
                    </a:prstGeom>
                    <a:noFill/>
                  </pic:spPr>
                </pic:pic>
              </a:graphicData>
            </a:graphic>
          </wp:inline>
        </w:drawing>
      </w: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726D48FD" w:rsidR="00842A58" w:rsidRDefault="00300FA6"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94A8BE3" wp14:editId="0F48C806">
            <wp:extent cx="5772150" cy="3082762"/>
            <wp:effectExtent l="0" t="0" r="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82669" cy="3088380"/>
                    </a:xfrm>
                    <a:prstGeom prst="rect">
                      <a:avLst/>
                    </a:prstGeom>
                    <a:noFill/>
                  </pic:spPr>
                </pic:pic>
              </a:graphicData>
            </a:graphic>
          </wp:inline>
        </w:drawing>
      </w:r>
    </w:p>
    <w:p w14:paraId="2AFAEB8B" w14:textId="19A4C918" w:rsidR="009D0082" w:rsidRDefault="009D0082" w:rsidP="00842A58">
      <w:pPr>
        <w:jc w:val="center"/>
        <w:rPr>
          <w:rFonts w:asciiTheme="minorHAnsi" w:hAnsiTheme="minorHAnsi" w:cstheme="minorHAnsi"/>
          <w:sz w:val="22"/>
          <w:szCs w:val="22"/>
        </w:rPr>
      </w:pPr>
    </w:p>
    <w:p w14:paraId="5C9F3B8A" w14:textId="54BE814D" w:rsidR="001307B8" w:rsidRDefault="001307B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46C11E24" w:rsidR="006C0944" w:rsidRDefault="006C0944" w:rsidP="00373E46">
      <w:pPr>
        <w:pStyle w:val="xl37"/>
        <w:tabs>
          <w:tab w:val="left" w:pos="180"/>
        </w:tabs>
        <w:spacing w:before="0" w:beforeAutospacing="0" w:after="0" w:afterAutospacing="0"/>
        <w:jc w:val="center"/>
        <w:rPr>
          <w:noProof/>
        </w:rPr>
      </w:pPr>
    </w:p>
    <w:p w14:paraId="79AE2D28" w14:textId="64F9BE29" w:rsidR="006C0944" w:rsidRDefault="00300FA6" w:rsidP="00373E46">
      <w:pPr>
        <w:pStyle w:val="xl37"/>
        <w:tabs>
          <w:tab w:val="left" w:pos="180"/>
        </w:tabs>
        <w:spacing w:before="0" w:beforeAutospacing="0" w:after="0" w:afterAutospacing="0"/>
        <w:jc w:val="center"/>
        <w:rPr>
          <w:noProof/>
        </w:rPr>
      </w:pPr>
      <w:r>
        <w:rPr>
          <w:noProof/>
        </w:rPr>
        <w:lastRenderedPageBreak/>
        <w:drawing>
          <wp:inline distT="0" distB="0" distL="0" distR="0" wp14:anchorId="59B744AF" wp14:editId="39BB2D59">
            <wp:extent cx="5590543" cy="323850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6163" cy="3253341"/>
                    </a:xfrm>
                    <a:prstGeom prst="rect">
                      <a:avLst/>
                    </a:prstGeom>
                    <a:noFill/>
                  </pic:spPr>
                </pic:pic>
              </a:graphicData>
            </a:graphic>
          </wp:inline>
        </w:drawing>
      </w:r>
    </w:p>
    <w:p w14:paraId="5C010F4C" w14:textId="77777777" w:rsidR="00300FA6" w:rsidRDefault="00300FA6" w:rsidP="00373E46">
      <w:pPr>
        <w:pStyle w:val="xl37"/>
        <w:tabs>
          <w:tab w:val="left" w:pos="180"/>
        </w:tabs>
        <w:spacing w:before="0" w:beforeAutospacing="0" w:after="0" w:afterAutospacing="0"/>
        <w:jc w:val="center"/>
        <w:rPr>
          <w:noProof/>
        </w:rPr>
      </w:pPr>
    </w:p>
    <w:p w14:paraId="7C578A4A" w14:textId="3BCABE5D" w:rsidR="006C0944" w:rsidRDefault="006C0944" w:rsidP="00373E46">
      <w:pPr>
        <w:pStyle w:val="xl37"/>
        <w:tabs>
          <w:tab w:val="left" w:pos="180"/>
        </w:tabs>
        <w:spacing w:before="0" w:beforeAutospacing="0" w:after="0" w:afterAutospacing="0"/>
        <w:jc w:val="center"/>
        <w:rPr>
          <w:noProof/>
        </w:rPr>
      </w:pPr>
    </w:p>
    <w:p w14:paraId="6BF5C847" w14:textId="77777777" w:rsidR="00300FA6" w:rsidRDefault="00300FA6" w:rsidP="00373E46">
      <w:pPr>
        <w:pStyle w:val="xl37"/>
        <w:tabs>
          <w:tab w:val="left" w:pos="180"/>
        </w:tabs>
        <w:spacing w:before="0" w:beforeAutospacing="0" w:after="0" w:afterAutospacing="0"/>
        <w:jc w:val="center"/>
        <w:rPr>
          <w:noProof/>
        </w:rPr>
      </w:pPr>
    </w:p>
    <w:p w14:paraId="71F4FA4D" w14:textId="77777777" w:rsidR="006C0944" w:rsidRDefault="006C0944" w:rsidP="00373E46">
      <w:pPr>
        <w:pStyle w:val="xl37"/>
        <w:tabs>
          <w:tab w:val="left" w:pos="180"/>
        </w:tabs>
        <w:spacing w:before="0" w:beforeAutospacing="0" w:after="0" w:afterAutospacing="0"/>
        <w:jc w:val="center"/>
        <w:rPr>
          <w:noProof/>
        </w:rPr>
      </w:pPr>
    </w:p>
    <w:p w14:paraId="58EACC4C" w14:textId="399E9004" w:rsidR="002035C4" w:rsidRDefault="00300FA6" w:rsidP="00373E46">
      <w:pPr>
        <w:pStyle w:val="xl37"/>
        <w:tabs>
          <w:tab w:val="left" w:pos="180"/>
        </w:tabs>
        <w:spacing w:before="0" w:beforeAutospacing="0" w:after="0" w:afterAutospacing="0"/>
        <w:jc w:val="center"/>
        <w:rPr>
          <w:noProof/>
        </w:rPr>
      </w:pPr>
      <w:r>
        <w:rPr>
          <w:noProof/>
        </w:rPr>
        <w:drawing>
          <wp:inline distT="0" distB="0" distL="0" distR="0" wp14:anchorId="1880CDF9" wp14:editId="1296BC84">
            <wp:extent cx="5610225" cy="3752850"/>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0225" cy="3752850"/>
                    </a:xfrm>
                    <a:prstGeom prst="rect">
                      <a:avLst/>
                    </a:prstGeom>
                    <a:noFill/>
                  </pic:spPr>
                </pic:pic>
              </a:graphicData>
            </a:graphic>
          </wp:inline>
        </w:drawing>
      </w: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1DE240DD" w:rsidR="00300FA6" w:rsidRDefault="00300FA6" w:rsidP="00373E46">
      <w:pPr>
        <w:pStyle w:val="xl37"/>
        <w:tabs>
          <w:tab w:val="left" w:pos="180"/>
        </w:tabs>
        <w:spacing w:before="0" w:beforeAutospacing="0" w:after="0" w:afterAutospacing="0"/>
        <w:jc w:val="center"/>
        <w:rPr>
          <w:noProof/>
        </w:rPr>
      </w:pPr>
    </w:p>
    <w:p w14:paraId="0BDF1463" w14:textId="081DD2FD" w:rsidR="00300FA6" w:rsidRDefault="00300FA6" w:rsidP="00373E46">
      <w:pPr>
        <w:pStyle w:val="xl37"/>
        <w:tabs>
          <w:tab w:val="left" w:pos="180"/>
        </w:tabs>
        <w:spacing w:before="0" w:beforeAutospacing="0" w:after="0" w:afterAutospacing="0"/>
        <w:jc w:val="center"/>
        <w:rPr>
          <w:noProof/>
        </w:rPr>
      </w:pPr>
    </w:p>
    <w:p w14:paraId="7B33F026" w14:textId="77777777" w:rsidR="00300FA6" w:rsidRDefault="00300FA6"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1E74D9"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7E61D7A"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791732">
            <w:rPr>
              <w:rFonts w:ascii="Poppins" w:hAnsi="Poppins" w:cs="Poppins"/>
              <w:b/>
              <w:sz w:val="22"/>
              <w:szCs w:val="22"/>
              <w:lang w:val="it-IT"/>
            </w:rPr>
            <w:t>4</w:t>
          </w:r>
          <w:r w:rsidR="0031408A">
            <w:rPr>
              <w:rFonts w:ascii="Poppins" w:hAnsi="Poppins" w:cs="Poppins"/>
              <w:b/>
              <w:sz w:val="22"/>
              <w:szCs w:val="22"/>
              <w:lang w:val="it-IT"/>
            </w:rPr>
            <w:t>5</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25FA991B"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CD1419">
            <w:rPr>
              <w:rFonts w:ascii="Poppins" w:hAnsi="Poppins" w:cs="Poppins"/>
              <w:b/>
              <w:sz w:val="22"/>
              <w:szCs w:val="22"/>
              <w:lang w:val="it-IT"/>
            </w:rPr>
            <w:t>4</w:t>
          </w:r>
          <w:r w:rsidR="00B629A7">
            <w:rPr>
              <w:rFonts w:ascii="Poppins" w:hAnsi="Poppins" w:cs="Poppins"/>
              <w:b/>
              <w:sz w:val="22"/>
              <w:szCs w:val="22"/>
              <w:lang w:val="it-IT"/>
            </w:rPr>
            <w:t>5</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56F403C"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10044E">
            <w:rPr>
              <w:rFonts w:ascii="Poppins" w:hAnsi="Poppins" w:cs="Poppins"/>
              <w:b/>
              <w:sz w:val="22"/>
              <w:szCs w:val="22"/>
              <w:lang w:val="it-IT"/>
            </w:rPr>
            <w:t>45</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A644170"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D1419">
            <w:rPr>
              <w:rFonts w:ascii="Poppins" w:hAnsi="Poppins" w:cs="Poppins"/>
              <w:b/>
              <w:sz w:val="22"/>
              <w:szCs w:val="22"/>
              <w:lang w:val="it-IT"/>
            </w:rPr>
            <w:t>4</w:t>
          </w:r>
          <w:r w:rsidR="00274A4A">
            <w:rPr>
              <w:rFonts w:ascii="Poppins" w:hAnsi="Poppins" w:cs="Poppins"/>
              <w:b/>
              <w:sz w:val="22"/>
              <w:szCs w:val="22"/>
              <w:lang w:val="it-IT"/>
            </w:rPr>
            <w:t>5</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218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60D"/>
    <w:rsid w:val="00604758"/>
    <w:rsid w:val="00604799"/>
    <w:rsid w:val="00604825"/>
    <w:rsid w:val="0060484A"/>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21857"/>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439</TotalTime>
  <Pages>19</Pages>
  <Words>4335</Words>
  <Characters>23843</Characters>
  <Application>Microsoft Office Word</Application>
  <DocSecurity>0</DocSecurity>
  <Lines>198</Lines>
  <Paragraphs>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2025-10-29T22:34:00Z</cp:lastPrinted>
  <dcterms:created xsi:type="dcterms:W3CDTF">2025-11-11T14:02:00Z</dcterms:created>
  <dcterms:modified xsi:type="dcterms:W3CDTF">2025-11-14T14:05:00Z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